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1F" w:rsidRPr="00A27B1F" w:rsidRDefault="00797755" w:rsidP="0013731F">
      <w:pPr>
        <w:spacing w:after="360" w:line="360" w:lineRule="auto"/>
        <w:rPr>
          <w:b/>
          <w:color w:val="000000"/>
          <w:sz w:val="28"/>
          <w:szCs w:val="28"/>
        </w:rPr>
      </w:pPr>
      <w:r w:rsidRPr="00A27B1F">
        <w:rPr>
          <w:b/>
          <w:color w:val="000000"/>
          <w:sz w:val="28"/>
          <w:szCs w:val="28"/>
        </w:rPr>
        <w:t>Havas László</w:t>
      </w:r>
    </w:p>
    <w:p w:rsidR="00BB02AA" w:rsidRPr="00A27B1F" w:rsidRDefault="00BB02AA" w:rsidP="00E23655">
      <w:pPr>
        <w:spacing w:after="120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A27B1F">
        <w:rPr>
          <w:b/>
          <w:color w:val="000000"/>
          <w:sz w:val="28"/>
          <w:szCs w:val="28"/>
        </w:rPr>
        <w:t>A magyar filozófia 200 évvel ezelőtt (Adalékok Kant magyarországi recepciójához: Rozgonyi József Kant-kritikája)</w:t>
      </w:r>
    </w:p>
    <w:p w:rsidR="007D259C" w:rsidRPr="00FB39DB" w:rsidRDefault="00BB02AA" w:rsidP="00C46EC9">
      <w:pPr>
        <w:spacing w:line="360" w:lineRule="auto"/>
        <w:ind w:firstLine="567"/>
        <w:jc w:val="both"/>
        <w:rPr>
          <w:color w:val="000000"/>
        </w:rPr>
      </w:pPr>
      <w:r w:rsidRPr="00FB39DB">
        <w:t xml:space="preserve">Amikor </w:t>
      </w:r>
      <w:r w:rsidR="00662D1D" w:rsidRPr="00FB39DB">
        <w:t xml:space="preserve">a fentebbi címet adtam előadásomnak </w:t>
      </w:r>
      <w:r w:rsidRPr="00FB39DB">
        <w:t xml:space="preserve">egy olyan konferencián, amelynek címéül a szervezők ezt a megnevezést választották: </w:t>
      </w:r>
      <w:r w:rsidRPr="007C03CB">
        <w:rPr>
          <w:i/>
        </w:rPr>
        <w:t xml:space="preserve">Metszetek a magyar filozófiai </w:t>
      </w:r>
      <w:r w:rsidR="00326B76" w:rsidRPr="007C03CB">
        <w:rPr>
          <w:i/>
        </w:rPr>
        <w:t>gondolkodás elmúlt 100 évéből</w:t>
      </w:r>
      <w:r w:rsidR="00326B76" w:rsidRPr="00FB39DB">
        <w:t>,</w:t>
      </w:r>
      <w:r w:rsidR="00662D1D" w:rsidRPr="00FB39DB">
        <w:t xml:space="preserve"> </w:t>
      </w:r>
      <w:r w:rsidRPr="00FB39DB">
        <w:t>nyilvánvalóvá tettem azt a szándékomat, hogy vitatkozni szándékozom azzal a hazai filozófiában mindmáig érzékelhető felfogással, miszerint a gazdag magyar szellemi kultúrának a filozófia csak meglehetősen ké</w:t>
      </w:r>
      <w:r w:rsidR="00291807" w:rsidRPr="00FB39DB">
        <w:t xml:space="preserve">sőn vált </w:t>
      </w:r>
      <w:r w:rsidR="00A340B0" w:rsidRPr="00FB39DB">
        <w:t xml:space="preserve">volna </w:t>
      </w:r>
      <w:r w:rsidR="00291807" w:rsidRPr="00FB39DB">
        <w:t>igazán szerves részévé. Sokaknak ugyanis az a véleménye, hogy</w:t>
      </w:r>
      <w:r w:rsidRPr="00FB39DB">
        <w:t xml:space="preserve"> a 19. század végéig </w:t>
      </w:r>
      <w:r w:rsidR="00291807" w:rsidRPr="00FB39DB">
        <w:t xml:space="preserve">a magyar bölcselettudomány </w:t>
      </w:r>
      <w:r w:rsidRPr="00FB39DB">
        <w:t>lényegében jobbára mindössze a külföld gondolatait közvetítette, s így hiányzott belőle</w:t>
      </w:r>
      <w:r w:rsidR="00291807" w:rsidRPr="00FB39DB">
        <w:t xml:space="preserve"> a valódi önállóság. Ez volt az álláspontja annak a Böhm Károlynak is, akiben többen ma is a magyar filozófia igazi megalapozóját látják</w:t>
      </w:r>
      <w:r w:rsidR="00F839B9" w:rsidRPr="00FB39DB">
        <w:t xml:space="preserve"> olyan személyként, akinek főleg az </w:t>
      </w:r>
      <w:hyperlink r:id="rId7" w:tooltip="Értékelmélet (a lap nem létezik)" w:history="1">
        <w:r w:rsidR="00F839B9" w:rsidRPr="00FB39DB">
          <w:rPr>
            <w:rStyle w:val="Hiperhivatkozs"/>
            <w:color w:val="auto"/>
            <w:u w:val="none"/>
          </w:rPr>
          <w:t>értékelmélet</w:t>
        </w:r>
      </w:hyperlink>
      <w:r w:rsidR="00F839B9" w:rsidRPr="00FB39DB">
        <w:t xml:space="preserve"> területén sikerült önálló filozófiai rendszert teremtenie</w:t>
      </w:r>
      <w:r w:rsidR="006D6893">
        <w:rPr>
          <w:rStyle w:val="Lbjegyzet-hivatkozs"/>
        </w:rPr>
        <w:footnoteReference w:id="2"/>
      </w:r>
      <w:r w:rsidR="00291807" w:rsidRPr="00FB39DB">
        <w:t>.</w:t>
      </w:r>
      <w:r w:rsidR="007E401F" w:rsidRPr="00FB39DB">
        <w:t xml:space="preserve"> Igaz, ez ellen a</w:t>
      </w:r>
      <w:r w:rsidR="00662D1D" w:rsidRPr="00FB39DB">
        <w:t xml:space="preserve"> magyar bölcseletet</w:t>
      </w:r>
      <w:r w:rsidR="0045578B" w:rsidRPr="00FB39DB">
        <w:t xml:space="preserve"> egyértelműen leminősítő</w:t>
      </w:r>
      <w:r w:rsidR="007E401F" w:rsidRPr="00FB39DB">
        <w:t xml:space="preserve"> megközelítés ellen újabban többen is föl</w:t>
      </w:r>
      <w:r w:rsidR="00BF1135" w:rsidRPr="00FB39DB">
        <w:t>emelté</w:t>
      </w:r>
      <w:r w:rsidR="00326B76" w:rsidRPr="00FB39DB">
        <w:t>k</w:t>
      </w:r>
      <w:r w:rsidR="00BF1135" w:rsidRPr="00FB39DB">
        <w:t xml:space="preserve"> szavukat</w:t>
      </w:r>
      <w:r w:rsidR="007E401F" w:rsidRPr="00FB39DB">
        <w:t xml:space="preserve"> s nem is eredménytelenül, hogy csak</w:t>
      </w:r>
      <w:r w:rsidR="00E07DFD" w:rsidRPr="00FB39DB">
        <w:t xml:space="preserve"> néhány kiragadott példára utaljak, mint amilyen Mészáros Andrásé, Mester Béláé, Perecz Lászlóé vagy a jelen konferencia-összeállításban is szereplő Veres </w:t>
      </w:r>
      <w:r w:rsidR="00E07DFD" w:rsidRPr="00797755">
        <w:t>Ildikóé</w:t>
      </w:r>
      <w:r w:rsidR="006D6893" w:rsidRPr="00797755">
        <w:rPr>
          <w:rStyle w:val="Lbjegyzet-hivatkozs"/>
          <w:color w:val="000000"/>
        </w:rPr>
        <w:footnoteReference w:id="3"/>
      </w:r>
      <w:r w:rsidR="00BF1135" w:rsidRPr="00FB39DB">
        <w:rPr>
          <w:color w:val="000000"/>
        </w:rPr>
        <w:t>. Ennek ellenére a kétségek köz</w:t>
      </w:r>
      <w:r w:rsidR="007D259C" w:rsidRPr="00FB39DB">
        <w:rPr>
          <w:color w:val="000000"/>
        </w:rPr>
        <w:t>elről sem oszlottak el teljesen.</w:t>
      </w:r>
    </w:p>
    <w:p w:rsidR="007D259C" w:rsidRPr="00FB39DB" w:rsidRDefault="007D259C" w:rsidP="00C46EC9">
      <w:pPr>
        <w:spacing w:line="360" w:lineRule="auto"/>
        <w:ind w:firstLine="567"/>
        <w:jc w:val="both"/>
        <w:rPr>
          <w:color w:val="000000"/>
        </w:rPr>
      </w:pPr>
      <w:r w:rsidRPr="00FB39DB">
        <w:rPr>
          <w:color w:val="000000"/>
        </w:rPr>
        <w:t>Mindez</w:t>
      </w:r>
      <w:r w:rsidR="00BF1135" w:rsidRPr="00FB39DB">
        <w:rPr>
          <w:color w:val="000000"/>
        </w:rPr>
        <w:t xml:space="preserve"> annál meglepőbb, mert a magyarországi tudós és szépirodalom eleve egy filozófiai jellegű munkával kezdődik</w:t>
      </w:r>
      <w:r w:rsidR="00674C05" w:rsidRPr="00FB39DB">
        <w:rPr>
          <w:color w:val="000000"/>
        </w:rPr>
        <w:t xml:space="preserve">, azaz a Szent Istvánnak tulajdonított </w:t>
      </w:r>
      <w:r w:rsidR="00674C05" w:rsidRPr="00FB39DB">
        <w:rPr>
          <w:i/>
          <w:color w:val="000000"/>
        </w:rPr>
        <w:t>Intelmek</w:t>
      </w:r>
      <w:r w:rsidR="00674C05" w:rsidRPr="00FB39DB">
        <w:rPr>
          <w:color w:val="000000"/>
        </w:rPr>
        <w:t>-kel, a</w:t>
      </w:r>
      <w:r w:rsidR="00674C05" w:rsidRPr="00FB39DB">
        <w:t>melynek elkészülte alig pár évvel követte a magyar állam megszületését</w:t>
      </w:r>
      <w:r w:rsidR="006D6893">
        <w:rPr>
          <w:rStyle w:val="Lbjegyzet-hivatkozs"/>
        </w:rPr>
        <w:footnoteReference w:id="4"/>
      </w:r>
      <w:r w:rsidR="0045578B" w:rsidRPr="00FB39DB">
        <w:t xml:space="preserve">. Ez a tömörségében </w:t>
      </w:r>
      <w:r w:rsidR="0045578B" w:rsidRPr="00FB39DB">
        <w:lastRenderedPageBreak/>
        <w:t>kitűnően megszerkesztett alkotás valójában a Kr. u.-1. évezred fordulóján készült fejedelemtükör</w:t>
      </w:r>
      <w:r w:rsidR="00662D1D" w:rsidRPr="00FB39DB">
        <w:t>, amely</w:t>
      </w:r>
      <w:r w:rsidR="0045578B" w:rsidRPr="00FB39DB">
        <w:t xml:space="preserve"> egészen önállóan</w:t>
      </w:r>
      <w:r w:rsidR="00BF1135" w:rsidRPr="00FB39DB">
        <w:rPr>
          <w:color w:val="000000"/>
        </w:rPr>
        <w:t xml:space="preserve"> </w:t>
      </w:r>
      <w:r w:rsidR="0033452D" w:rsidRPr="00FB39DB">
        <w:rPr>
          <w:color w:val="000000"/>
        </w:rPr>
        <w:t xml:space="preserve">fogalmazott meg egy olyan neoplatonista keresztény államelméletet, mely a néhány évtizeddel később bekövetkező nagy egyházszakadás, az 1054-es </w:t>
      </w:r>
      <w:r w:rsidR="0033452D" w:rsidRPr="00FB39DB">
        <w:rPr>
          <w:i/>
          <w:color w:val="000000"/>
        </w:rPr>
        <w:t xml:space="preserve">schisma </w:t>
      </w:r>
      <w:r w:rsidR="0033452D" w:rsidRPr="00FB39DB">
        <w:rPr>
          <w:color w:val="000000"/>
        </w:rPr>
        <w:t xml:space="preserve">előtt </w:t>
      </w:r>
      <w:r w:rsidR="006354B3" w:rsidRPr="00FB39DB">
        <w:rPr>
          <w:color w:val="000000"/>
        </w:rPr>
        <w:t xml:space="preserve">szerves egységbe foglalta a klasszikus antik, a bibliai alapokon nyugvó keresztény-latin és bizánci politikai gondolkodás hagyományait. Fő célja pedig az volt, hogy így próbálja meg beilleszteni a II. Szilveszter pápa és III. Ottó császár által megfogalmazott Európa-koncepcióba a létrejött szuverén magyar államot, amelynek ilyen módon egyértelműen megvan a maga funkciója a </w:t>
      </w:r>
      <w:r w:rsidR="006354B3" w:rsidRPr="00FB39DB">
        <w:rPr>
          <w:i/>
          <w:color w:val="000000"/>
        </w:rPr>
        <w:t>corpus Christi-</w:t>
      </w:r>
      <w:r w:rsidR="00326B76" w:rsidRPr="00FB39DB">
        <w:rPr>
          <w:color w:val="000000"/>
        </w:rPr>
        <w:t>n belül. Ez pedig</w:t>
      </w:r>
      <w:r w:rsidR="006354B3" w:rsidRPr="00FB39DB">
        <w:rPr>
          <w:color w:val="000000"/>
        </w:rPr>
        <w:t xml:space="preserve"> itt nem </w:t>
      </w:r>
      <w:r w:rsidR="00662D1D" w:rsidRPr="00FB39DB">
        <w:t xml:space="preserve">egyszerűen </w:t>
      </w:r>
      <w:r w:rsidR="006354B3" w:rsidRPr="00FB39DB">
        <w:rPr>
          <w:color w:val="000000"/>
        </w:rPr>
        <w:t xml:space="preserve">az Egyház mint </w:t>
      </w:r>
      <w:r w:rsidR="006354B3" w:rsidRPr="004F6C03">
        <w:t>„Krisztus teste”</w:t>
      </w:r>
      <w:r w:rsidR="006354B3" w:rsidRPr="00FB39DB">
        <w:rPr>
          <w:color w:val="000000"/>
        </w:rPr>
        <w:t>, hanem</w:t>
      </w:r>
      <w:r w:rsidR="00AE0F5B" w:rsidRPr="00FB39DB">
        <w:rPr>
          <w:color w:val="000000"/>
        </w:rPr>
        <w:t xml:space="preserve"> </w:t>
      </w:r>
      <w:r w:rsidR="00662D1D" w:rsidRPr="00FB39DB">
        <w:t xml:space="preserve">valójában </w:t>
      </w:r>
      <w:r w:rsidR="00AE0F5B" w:rsidRPr="00FB39DB">
        <w:rPr>
          <w:color w:val="000000"/>
        </w:rPr>
        <w:t>egy egységes civilizáción nyugvó politikai szervezet. 1030 tájékán, amikor ez a nézet Magyarországon így megfogalmazódott, voltaképpen a legtágabb horizontú politikai ideológiát képviselte</w:t>
      </w:r>
      <w:r w:rsidR="00662D1D" w:rsidRPr="00FB39DB">
        <w:t xml:space="preserve"> Európa</w:t>
      </w:r>
      <w:r w:rsidR="00241248" w:rsidRPr="00FB39DB">
        <w:t>-</w:t>
      </w:r>
      <w:r w:rsidR="00662D1D" w:rsidRPr="00FB39DB">
        <w:t>szerte</w:t>
      </w:r>
      <w:r w:rsidR="00326B76" w:rsidRPr="00FB39DB">
        <w:rPr>
          <w:color w:val="000000"/>
        </w:rPr>
        <w:t xml:space="preserve">, éspedig meglepő eredetiséggel, s talán azzal az elképzeléssel, hogy ebben az egységesülési folyamatban akár vezető szerepre tehessen szert az az Árpád-ház, amely </w:t>
      </w:r>
      <w:r w:rsidR="00CA36EB">
        <w:rPr>
          <w:color w:val="000000"/>
        </w:rPr>
        <w:t xml:space="preserve">szemmel láthatólag egy </w:t>
      </w:r>
      <w:r w:rsidR="00326B76" w:rsidRPr="00FB39DB">
        <w:rPr>
          <w:color w:val="000000"/>
        </w:rPr>
        <w:t>nagyszabású dinasztikus politika megvalósításába fogott bele.</w:t>
      </w:r>
      <w:r w:rsidR="00AE0F5B" w:rsidRPr="00FB39DB">
        <w:rPr>
          <w:color w:val="000000"/>
        </w:rPr>
        <w:t xml:space="preserve"> </w:t>
      </w:r>
    </w:p>
    <w:p w:rsidR="007D259C" w:rsidRPr="00FB39DB" w:rsidRDefault="00AE0F5B" w:rsidP="00C46EC9">
      <w:pPr>
        <w:spacing w:line="360" w:lineRule="auto"/>
        <w:ind w:firstLine="567"/>
        <w:jc w:val="both"/>
      </w:pPr>
      <w:r w:rsidRPr="00FB39DB">
        <w:rPr>
          <w:color w:val="000000"/>
        </w:rPr>
        <w:t>Később sem hiányzott ez a korral való együtt haladás</w:t>
      </w:r>
      <w:r w:rsidR="00662D1D" w:rsidRPr="00FB39DB">
        <w:t xml:space="preserve"> a Duna tájékáról</w:t>
      </w:r>
      <w:r w:rsidRPr="00FB39DB">
        <w:rPr>
          <w:color w:val="000000"/>
        </w:rPr>
        <w:t>, ahogy pl. Janus Pannonius is a reneszánsz szellemiség jegyében</w:t>
      </w:r>
      <w:r w:rsidR="00C15130" w:rsidRPr="00FB39DB">
        <w:rPr>
          <w:color w:val="000000"/>
        </w:rPr>
        <w:t>,</w:t>
      </w:r>
      <w:r w:rsidRPr="00FB39DB">
        <w:rPr>
          <w:color w:val="000000"/>
        </w:rPr>
        <w:t xml:space="preserve"> </w:t>
      </w:r>
      <w:r w:rsidR="00C15130" w:rsidRPr="00FB39DB">
        <w:rPr>
          <w:color w:val="000000"/>
        </w:rPr>
        <w:t xml:space="preserve">az Alpoktól északra eső humanizmusban talán elsőként </w:t>
      </w:r>
      <w:r w:rsidRPr="00FB39DB">
        <w:rPr>
          <w:color w:val="000000"/>
        </w:rPr>
        <w:t>fogalmazta meg Platón és Cicero nyomán, de a sztoikus tanítások figyelembe vételével</w:t>
      </w:r>
      <w:r w:rsidR="001C04DE" w:rsidRPr="00FB39DB">
        <w:rPr>
          <w:color w:val="000000"/>
        </w:rPr>
        <w:t xml:space="preserve"> a mag</w:t>
      </w:r>
      <w:r w:rsidR="00662D1D" w:rsidRPr="00FB39DB">
        <w:t xml:space="preserve">a </w:t>
      </w:r>
      <w:r w:rsidR="00241248" w:rsidRPr="00FB39DB">
        <w:t xml:space="preserve">Hunyadi János csodálatához szabott ún. </w:t>
      </w:r>
      <w:r w:rsidR="00662D1D" w:rsidRPr="00FB39DB">
        <w:t>„kevert államforma” elméletét.</w:t>
      </w:r>
      <w:r w:rsidR="001C04DE" w:rsidRPr="00FB39DB">
        <w:rPr>
          <w:color w:val="000000"/>
        </w:rPr>
        <w:t xml:space="preserve"> </w:t>
      </w:r>
      <w:r w:rsidR="00662D1D" w:rsidRPr="00FB39DB">
        <w:t xml:space="preserve">Ez a teória </w:t>
      </w:r>
      <w:r w:rsidR="001C04DE" w:rsidRPr="00FB39DB">
        <w:rPr>
          <w:color w:val="000000"/>
        </w:rPr>
        <w:t>Velence példája nyomán a magyar királyság harmonikus működését is szavatolni tudta volna, még</w:t>
      </w:r>
      <w:r w:rsidR="00662D1D" w:rsidRPr="00FB39DB">
        <w:t xml:space="preserve"> akkor is, </w:t>
      </w:r>
      <w:r w:rsidR="001C04DE" w:rsidRPr="00FB39DB">
        <w:rPr>
          <w:color w:val="000000"/>
        </w:rPr>
        <w:t xml:space="preserve">ha a későbbiekben </w:t>
      </w:r>
      <w:r w:rsidR="00662D1D" w:rsidRPr="00FB39DB">
        <w:t xml:space="preserve">Hunyadi Mátyás nem bizonyult </w:t>
      </w:r>
      <w:r w:rsidR="00241248" w:rsidRPr="00FB39DB">
        <w:t xml:space="preserve">is </w:t>
      </w:r>
      <w:r w:rsidR="001C04DE" w:rsidRPr="00FB39DB">
        <w:rPr>
          <w:color w:val="000000"/>
        </w:rPr>
        <w:t>fogékonynak erre az államfilozófiai elképzelésre</w:t>
      </w:r>
      <w:r w:rsidR="004F6C03">
        <w:rPr>
          <w:color w:val="000000"/>
        </w:rPr>
        <w:t>.</w:t>
      </w:r>
      <w:r w:rsidR="006D6893">
        <w:rPr>
          <w:rStyle w:val="Lbjegyzet-hivatkozs"/>
          <w:color w:val="000000"/>
        </w:rPr>
        <w:footnoteReference w:id="5"/>
      </w:r>
      <w:r w:rsidR="00280541" w:rsidRPr="00FB39DB">
        <w:t xml:space="preserve"> </w:t>
      </w:r>
    </w:p>
    <w:p w:rsidR="006B64F7" w:rsidRDefault="00241248" w:rsidP="00C46EC9">
      <w:pPr>
        <w:spacing w:line="360" w:lineRule="auto"/>
        <w:ind w:firstLine="567"/>
        <w:jc w:val="both"/>
      </w:pPr>
      <w:r w:rsidRPr="00FB39DB">
        <w:t>Következő példánk már a török hódoltságot követő időkbe vezet át bennünket, amikor a magyar államiság létrejöttének és egyben a pannonhalmi apátság 700. é</w:t>
      </w:r>
      <w:r w:rsidR="003F0CEE" w:rsidRPr="00FB39DB">
        <w:t xml:space="preserve">vfordulójára emlékeznek, s az ország talpra állításához és szinte Európába való újbóli visszavezetéséhez szükség van egy új, korszerű keresztény etikára, </w:t>
      </w:r>
      <w:r w:rsidR="00CA36EB">
        <w:t>s e</w:t>
      </w:r>
      <w:r w:rsidR="003F0CEE" w:rsidRPr="00FB39DB">
        <w:t>kkor Pannonhalma apátja</w:t>
      </w:r>
      <w:r w:rsidR="00326B76" w:rsidRPr="00FB39DB">
        <w:t>, Karner Egyed</w:t>
      </w:r>
      <w:r w:rsidR="003F0CEE" w:rsidRPr="00FB39DB">
        <w:t xml:space="preserve"> nem csupán nagyszerű arany emlékérmet veret, hanem</w:t>
      </w:r>
      <w:r w:rsidR="006375F1" w:rsidRPr="00FB39DB">
        <w:t xml:space="preserve"> </w:t>
      </w:r>
      <w:r w:rsidR="00CA36EB">
        <w:t xml:space="preserve">többek között </w:t>
      </w:r>
      <w:r w:rsidR="006375F1" w:rsidRPr="00FB39DB">
        <w:t>elkészít egy verses</w:t>
      </w:r>
      <w:r w:rsidR="00662D1D" w:rsidRPr="00FB39DB">
        <w:t xml:space="preserve"> </w:t>
      </w:r>
      <w:r w:rsidR="006375F1" w:rsidRPr="00FB39DB">
        <w:t>latin etikai kódexet</w:t>
      </w:r>
      <w:r w:rsidR="00326B76" w:rsidRPr="00FB39DB">
        <w:t xml:space="preserve"> is</w:t>
      </w:r>
      <w:r w:rsidR="006375F1" w:rsidRPr="00FB39DB">
        <w:t xml:space="preserve">. Ez pedig nem kisebb feladatra </w:t>
      </w:r>
      <w:r w:rsidR="006375F1" w:rsidRPr="004F6C03">
        <w:t>vállalkozik</w:t>
      </w:r>
      <w:r w:rsidR="006375F1" w:rsidRPr="00FB39DB">
        <w:t xml:space="preserve">, mint hogy </w:t>
      </w:r>
      <w:r w:rsidR="007D259C" w:rsidRPr="00FB39DB">
        <w:t>abc</w:t>
      </w:r>
      <w:r w:rsidR="006375F1" w:rsidRPr="00FB39DB">
        <w:t xml:space="preserve">-rendbe szedve a társadalom és a kultúra legfontosabb területeit és kötelességeit, így </w:t>
      </w:r>
      <w:r w:rsidR="006375F1" w:rsidRPr="004F6C03">
        <w:t>próbáljon meg</w:t>
      </w:r>
      <w:r w:rsidR="006375F1" w:rsidRPr="00FB39DB">
        <w:t xml:space="preserve"> helyreállítani és érvényre juttatni egy olyan erkölcsfilozófiát, amely a Benedek-rend salzburgi </w:t>
      </w:r>
      <w:r w:rsidR="006375F1" w:rsidRPr="00FB39DB">
        <w:lastRenderedPageBreak/>
        <w:t xml:space="preserve">iskolájának szélesen értelmezett doktrínája </w:t>
      </w:r>
      <w:r w:rsidR="006375F1" w:rsidRPr="004F6C03">
        <w:t>nyomán kísérli megszabni</w:t>
      </w:r>
      <w:r w:rsidR="006375F1" w:rsidRPr="00FB39DB">
        <w:t xml:space="preserve"> egy modern monarchia normakereteit. A magyar filozófiatörténet nagy hiánya, hogy ez a páratlan alkotás mind a mai napig kéziratban várja, hogy nyomtatott formában és olvasható fordításban eljusson korunk olvasójához, akinek erkölcsi </w:t>
      </w:r>
      <w:r w:rsidR="00326B76" w:rsidRPr="00FB39DB">
        <w:t>el</w:t>
      </w:r>
      <w:r w:rsidR="006375F1" w:rsidRPr="00FB39DB">
        <w:t xml:space="preserve">igazodása </w:t>
      </w:r>
      <w:r w:rsidR="00326B76" w:rsidRPr="00FB39DB">
        <w:t xml:space="preserve">a globalizáció </w:t>
      </w:r>
      <w:r w:rsidR="0082640A">
        <w:t xml:space="preserve">nemcsak technikában, hanem szellemiekben és morálisan is mély átrendeződést magával hozó </w:t>
      </w:r>
      <w:r w:rsidR="00326B76" w:rsidRPr="00FB39DB">
        <w:t xml:space="preserve">világában </w:t>
      </w:r>
      <w:r w:rsidR="006375F1" w:rsidRPr="00FB39DB">
        <w:t>ugyancsak égető kérdéssé vált</w:t>
      </w:r>
      <w:r w:rsidR="006D6893">
        <w:rPr>
          <w:rStyle w:val="Lbjegyzet-hivatkozs"/>
        </w:rPr>
        <w:footnoteReference w:id="6"/>
      </w:r>
      <w:r w:rsidR="00B41AF3" w:rsidRPr="00FB39DB">
        <w:t>.</w:t>
      </w:r>
      <w:r w:rsidR="006375F1" w:rsidRPr="00FB39DB">
        <w:t xml:space="preserve"> </w:t>
      </w:r>
    </w:p>
    <w:p w:rsidR="00662D1D" w:rsidRPr="00FB39DB" w:rsidRDefault="00714022" w:rsidP="00C46EC9">
      <w:pPr>
        <w:spacing w:line="360" w:lineRule="auto"/>
        <w:ind w:firstLine="567"/>
        <w:jc w:val="both"/>
      </w:pPr>
      <w:r w:rsidRPr="00FB39DB">
        <w:t xml:space="preserve">Mindez jól mutatja filozófiai nyitottságunkat, amely még </w:t>
      </w:r>
      <w:r w:rsidRPr="004F6C03">
        <w:t>a török alatt is</w:t>
      </w:r>
      <w:r w:rsidRPr="00FB39DB">
        <w:t xml:space="preserve"> megmutatkozott, mert nem csupán Apáczai Csere János enciklopédikus kartezianizmusában </w:t>
      </w:r>
      <w:r w:rsidR="006B64F7" w:rsidRPr="004F6C03">
        <w:t>érzékelhető</w:t>
      </w:r>
      <w:r w:rsidR="006D6893" w:rsidRPr="004F6C03">
        <w:rPr>
          <w:rStyle w:val="Lbjegyzet-hivatkozs"/>
        </w:rPr>
        <w:footnoteReference w:id="7"/>
      </w:r>
      <w:r w:rsidR="008925AE" w:rsidRPr="004F6C03">
        <w:t>,</w:t>
      </w:r>
      <w:r w:rsidR="008925AE" w:rsidRPr="00FB39DB">
        <w:t xml:space="preserve"> hanem Nadányi János tevékenységében is, aki elsőként hozta el Magyarországra az „emberi jogok” tanítását, legalábbis Grotius akkor legmodernebbnek tekinthető szellemisége jegyében</w:t>
      </w:r>
      <w:r w:rsidR="006D6893">
        <w:rPr>
          <w:rStyle w:val="Lbjegyzet-hivatkozs"/>
        </w:rPr>
        <w:footnoteReference w:id="8"/>
      </w:r>
      <w:r w:rsidR="00725017" w:rsidRPr="00FB39DB">
        <w:t>.</w:t>
      </w:r>
    </w:p>
    <w:p w:rsidR="003A738E" w:rsidRPr="00FB39DB" w:rsidRDefault="00725017" w:rsidP="00C46EC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B39DB">
        <w:t xml:space="preserve">Ma már az is egyre nyilvánvalóbbá válik, hogy a felvilágosodás szellemét terjesztő bécsi testőrgárdisták sem egyszerűen a francia enciklopédisták műveit másolták, ahogy korábban sokan gondolták, hanem ezt a szellemiséget </w:t>
      </w:r>
      <w:r w:rsidR="00263413" w:rsidRPr="00FB39DB">
        <w:t xml:space="preserve">a legjobbak </w:t>
      </w:r>
      <w:r w:rsidRPr="00FB39DB">
        <w:t>szerencsésen párosították a részben kiindulási alapnak tekintett skót-angol szkepticizmussal</w:t>
      </w:r>
      <w:r w:rsidR="006D6893">
        <w:rPr>
          <w:rStyle w:val="Lbjegyzet-hivatkozs"/>
        </w:rPr>
        <w:footnoteReference w:id="9"/>
      </w:r>
      <w:r w:rsidR="00B76FBE" w:rsidRPr="00FB39DB">
        <w:t>. S ezzel el is jutott</w:t>
      </w:r>
      <w:r w:rsidR="00516F8B" w:rsidRPr="00FB39DB">
        <w:t>unk tulajdonképpeni tárgyunkhoz. H</w:t>
      </w:r>
      <w:r w:rsidR="00B76FBE" w:rsidRPr="00FB39DB">
        <w:t>iszen közismert, hogy magát</w:t>
      </w:r>
      <w:r w:rsidR="00B76FBE" w:rsidRPr="00FB39DB">
        <w:rPr>
          <w:color w:val="191919"/>
        </w:rPr>
        <w:t xml:space="preserve"> Kantot is</w:t>
      </w:r>
      <w:r w:rsidR="003A738E" w:rsidRPr="00FB39DB">
        <w:rPr>
          <w:color w:val="191919"/>
        </w:rPr>
        <w:t xml:space="preserve"> Hume </w:t>
      </w:r>
      <w:r w:rsidR="00B76FBE" w:rsidRPr="00FB39DB">
        <w:rPr>
          <w:color w:val="191919"/>
        </w:rPr>
        <w:t>filozófiája költötte</w:t>
      </w:r>
      <w:r w:rsidR="003A738E" w:rsidRPr="00FB39DB">
        <w:rPr>
          <w:color w:val="191919"/>
        </w:rPr>
        <w:t xml:space="preserve"> </w:t>
      </w:r>
      <w:r w:rsidR="003A738E" w:rsidRPr="004F6C03">
        <w:rPr>
          <w:color w:val="191919"/>
        </w:rPr>
        <w:t>fel „</w:t>
      </w:r>
      <w:r w:rsidR="00B76FBE" w:rsidRPr="004F6C03">
        <w:rPr>
          <w:color w:val="191919"/>
        </w:rPr>
        <w:t>dogmatikai álmábó</w:t>
      </w:r>
      <w:r w:rsidR="003A738E" w:rsidRPr="004F6C03">
        <w:rPr>
          <w:color w:val="191919"/>
        </w:rPr>
        <w:t>l”</w:t>
      </w:r>
      <w:r w:rsidR="00B76FBE" w:rsidRPr="004F6C03">
        <w:rPr>
          <w:color w:val="191919"/>
        </w:rPr>
        <w:t>,</w:t>
      </w:r>
      <w:r w:rsidR="00B76FBE" w:rsidRPr="00FB39DB">
        <w:rPr>
          <w:color w:val="191919"/>
        </w:rPr>
        <w:t xml:space="preserve"> ahogy Ács Pál is fogalmaz</w:t>
      </w:r>
      <w:r w:rsidR="006D6893">
        <w:rPr>
          <w:rStyle w:val="Lbjegyzet-hivatkozs"/>
          <w:color w:val="191919"/>
        </w:rPr>
        <w:footnoteReference w:id="10"/>
      </w:r>
      <w:r w:rsidR="00B76FBE" w:rsidRPr="00FB39DB">
        <w:rPr>
          <w:color w:val="191919"/>
        </w:rPr>
        <w:t>, aki azonban szóvá teszi, hogy ez a magyarországi recepció nem magyar, hanem latin nyelvű volt, amit ő egyér</w:t>
      </w:r>
      <w:r w:rsidR="00516F8B" w:rsidRPr="00FB39DB">
        <w:rPr>
          <w:color w:val="191919"/>
        </w:rPr>
        <w:t>telműen fogyatékosságként kezel. H</w:t>
      </w:r>
      <w:r w:rsidR="00B76FBE" w:rsidRPr="00FB39DB">
        <w:rPr>
          <w:color w:val="191919"/>
        </w:rPr>
        <w:t>olott az addigi magyar b</w:t>
      </w:r>
      <w:r w:rsidR="00516F8B" w:rsidRPr="00FB39DB">
        <w:rPr>
          <w:color w:val="191919"/>
        </w:rPr>
        <w:t xml:space="preserve">ölcselet európaihoz </w:t>
      </w:r>
      <w:r w:rsidR="00516F8B" w:rsidRPr="00FB39DB">
        <w:t>közelítő szí</w:t>
      </w:r>
      <w:r w:rsidR="00B76FBE" w:rsidRPr="00FB39DB">
        <w:t xml:space="preserve">nvonalát többek közt éppen addigi latin nyelvűsége </w:t>
      </w:r>
      <w:r w:rsidR="005318AE">
        <w:t xml:space="preserve">úgyszintén </w:t>
      </w:r>
      <w:r w:rsidR="00B76FBE" w:rsidRPr="00FB39DB">
        <w:t xml:space="preserve">biztosította, ahogy a 19. század elejéig valóban ez a klasszikus nyelv maradt a bölcseleti elméletek egyik </w:t>
      </w:r>
      <w:r w:rsidR="00516F8B" w:rsidRPr="00FB39DB">
        <w:t>leg</w:t>
      </w:r>
      <w:r w:rsidR="00B76FBE" w:rsidRPr="00FB39DB">
        <w:t>fő</w:t>
      </w:r>
      <w:r w:rsidR="00516F8B" w:rsidRPr="00FB39DB">
        <w:t>bb</w:t>
      </w:r>
      <w:r w:rsidR="00B76FBE" w:rsidRPr="00FB39DB">
        <w:t xml:space="preserve"> letéteményese a kontinens államaiban az egyes nemzeti nyelvek növekvő jelentősége mellett</w:t>
      </w:r>
      <w:r w:rsidR="003A738E" w:rsidRPr="00FB39DB">
        <w:t>.</w:t>
      </w:r>
    </w:p>
    <w:p w:rsidR="00000290" w:rsidRPr="00FB39DB" w:rsidRDefault="007D259C" w:rsidP="00C46EC9">
      <w:pPr>
        <w:pStyle w:val="NormlWeb"/>
        <w:spacing w:before="0" w:beforeAutospacing="0" w:after="0" w:afterAutospacing="0" w:line="360" w:lineRule="auto"/>
        <w:ind w:firstLine="567"/>
        <w:jc w:val="both"/>
        <w:rPr>
          <w:lang w:val="de-DE"/>
        </w:rPr>
      </w:pPr>
      <w:r w:rsidRPr="00FB39DB">
        <w:lastRenderedPageBreak/>
        <w:t>Inkább azt kell hangsúlyozni, hogy mennyire gyors és mennyire megtermékenyítő erejű volt Magyarországon a 18/19. század fordulóján</w:t>
      </w:r>
      <w:r w:rsidR="00000290" w:rsidRPr="00FB39DB">
        <w:t xml:space="preserve"> Kant recepciója, aminek jelentőségét az adja meg igazán, hogy a </w:t>
      </w:r>
      <w:hyperlink r:id="rId8" w:tooltip="Kritik der reinen Vernunft" w:history="1">
        <w:r w:rsidR="00000290" w:rsidRPr="00FB39DB">
          <w:rPr>
            <w:rStyle w:val="nowrap1"/>
            <w:i/>
            <w:iCs/>
          </w:rPr>
          <w:t>Kritik der reinen Vernunft</w:t>
        </w:r>
      </w:hyperlink>
      <w:r w:rsidR="00000290" w:rsidRPr="00FB39DB">
        <w:t xml:space="preserve"> </w:t>
      </w:r>
      <w:r w:rsidR="00697E15" w:rsidRPr="00FB39DB">
        <w:t>(</w:t>
      </w:r>
      <w:hyperlink r:id="rId9" w:tooltip="1781 en littérature" w:history="1">
        <w:r w:rsidR="00697E15" w:rsidRPr="00FB39DB">
          <w:rPr>
            <w:rStyle w:val="nowrap1"/>
            <w:lang w:val="fr-FR"/>
          </w:rPr>
          <w:t>1781</w:t>
        </w:r>
      </w:hyperlink>
      <w:r w:rsidR="00697E15" w:rsidRPr="00FB39DB">
        <w:rPr>
          <w:lang w:val="fr-FR"/>
        </w:rPr>
        <w:t xml:space="preserve">, </w:t>
      </w:r>
      <w:hyperlink r:id="rId10" w:tooltip="1787 en littérature" w:history="1">
        <w:r w:rsidR="00697E15" w:rsidRPr="00FB39DB">
          <w:rPr>
            <w:rStyle w:val="nowrap1"/>
            <w:lang w:val="fr-FR"/>
          </w:rPr>
          <w:t>1787</w:t>
        </w:r>
      </w:hyperlink>
      <w:r w:rsidR="00697E15" w:rsidRPr="00FB39DB">
        <w:rPr>
          <w:vertAlign w:val="superscript"/>
          <w:lang w:val="fr-FR"/>
        </w:rPr>
        <w:t>2</w:t>
      </w:r>
      <w:r w:rsidR="00697E15" w:rsidRPr="00FB39DB">
        <w:t xml:space="preserve">/átdolgozott formában/) </w:t>
      </w:r>
      <w:r w:rsidR="00B251DA" w:rsidRPr="00FB39DB">
        <w:t>szerzőjétől szokás igazából</w:t>
      </w:r>
      <w:r w:rsidR="00000290" w:rsidRPr="00FB39DB">
        <w:t xml:space="preserve"> számít</w:t>
      </w:r>
      <w:r w:rsidR="00697E15" w:rsidRPr="00FB39DB">
        <w:t>ani a modern filozófia kezdetét.</w:t>
      </w:r>
      <w:r w:rsidR="00000290" w:rsidRPr="00FB39DB">
        <w:t xml:space="preserve"> </w:t>
      </w:r>
      <w:r w:rsidR="00697E15" w:rsidRPr="00FB39DB">
        <w:t>H</w:t>
      </w:r>
      <w:r w:rsidR="00000290" w:rsidRPr="00FB39DB">
        <w:t>angsúlyoz</w:t>
      </w:r>
      <w:r w:rsidR="00697E15" w:rsidRPr="00FB39DB">
        <w:t>nunk</w:t>
      </w:r>
      <w:r w:rsidR="005318AE">
        <w:t xml:space="preserve"> kell ugyanis e bölcselet univerzális</w:t>
      </w:r>
      <w:r w:rsidR="00697E15" w:rsidRPr="00FB39DB">
        <w:t xml:space="preserve"> jellegét</w:t>
      </w:r>
      <w:r w:rsidR="00000290" w:rsidRPr="00FB39DB">
        <w:t xml:space="preserve">, hiszen az nemcsak ismeretelméletet </w:t>
      </w:r>
      <w:r w:rsidR="00697E15" w:rsidRPr="00FB39DB">
        <w:t>foglalt magába</w:t>
      </w:r>
      <w:r w:rsidR="00000290" w:rsidRPr="00FB39DB">
        <w:t>, hanem átfogó etikát (</w:t>
      </w:r>
      <w:hyperlink r:id="rId11" w:tooltip="Kritik der praktischen Vernunft" w:history="1">
        <w:r w:rsidR="00000290" w:rsidRPr="00FB39DB">
          <w:rPr>
            <w:rStyle w:val="nowrap1"/>
            <w:i/>
            <w:iCs/>
          </w:rPr>
          <w:t>Kritik der praktischen Vernunft</w:t>
        </w:r>
      </w:hyperlink>
      <w:r w:rsidR="00D259D7" w:rsidRPr="00FB39DB">
        <w:rPr>
          <w:i/>
          <w:iCs/>
        </w:rPr>
        <w:t xml:space="preserve"> – </w:t>
      </w:r>
      <w:r w:rsidR="00D259D7" w:rsidRPr="00FB39DB">
        <w:t>178</w:t>
      </w:r>
      <w:r w:rsidR="00D259D7" w:rsidRPr="00FB39DB">
        <w:rPr>
          <w:iCs/>
        </w:rPr>
        <w:t>8</w:t>
      </w:r>
      <w:r w:rsidR="00000290" w:rsidRPr="00FB39DB">
        <w:rPr>
          <w:iCs/>
        </w:rPr>
        <w:t>), esztétikát (</w:t>
      </w:r>
      <w:hyperlink r:id="rId12" w:tooltip="Kritik der Urteilskraft" w:history="1">
        <w:r w:rsidR="00000290" w:rsidRPr="00FB39DB">
          <w:rPr>
            <w:rStyle w:val="nowrap1"/>
            <w:i/>
            <w:iCs/>
          </w:rPr>
          <w:t>Kritik der Urteilskraft</w:t>
        </w:r>
      </w:hyperlink>
      <w:r w:rsidR="000304A2" w:rsidRPr="00FB39DB">
        <w:rPr>
          <w:i/>
          <w:iCs/>
        </w:rPr>
        <w:t xml:space="preserve"> – </w:t>
      </w:r>
      <w:r w:rsidR="000304A2" w:rsidRPr="00FB39DB">
        <w:rPr>
          <w:iCs/>
        </w:rPr>
        <w:t>1790</w:t>
      </w:r>
      <w:r w:rsidR="00000290" w:rsidRPr="00FB39DB">
        <w:rPr>
          <w:iCs/>
        </w:rPr>
        <w:t xml:space="preserve">), vallásfilozófiát </w:t>
      </w:r>
      <w:r w:rsidR="00B251DA" w:rsidRPr="00FB39DB">
        <w:rPr>
          <w:iCs/>
        </w:rPr>
        <w:t>(</w:t>
      </w:r>
      <w:r w:rsidR="00B251DA" w:rsidRPr="00FB39DB">
        <w:rPr>
          <w:i/>
          <w:iCs/>
          <w:lang w:val="de-DE"/>
        </w:rPr>
        <w:t>Die Religion innerhalb der Grenzen der bloßen Vernunft</w:t>
      </w:r>
      <w:r w:rsidR="00B251DA" w:rsidRPr="00FB39DB">
        <w:rPr>
          <w:lang w:val="de-DE"/>
        </w:rPr>
        <w:t xml:space="preserve"> – 1793</w:t>
      </w:r>
      <w:r w:rsidR="00B251DA" w:rsidRPr="00FB39DB">
        <w:rPr>
          <w:iCs/>
        </w:rPr>
        <w:t xml:space="preserve">) </w:t>
      </w:r>
      <w:r w:rsidR="00000290" w:rsidRPr="00FB39DB">
        <w:rPr>
          <w:iCs/>
        </w:rPr>
        <w:t xml:space="preserve">és antropológiát </w:t>
      </w:r>
      <w:r w:rsidR="00B251DA" w:rsidRPr="00FB39DB">
        <w:rPr>
          <w:iCs/>
        </w:rPr>
        <w:t>(</w:t>
      </w:r>
      <w:r w:rsidR="00B251DA" w:rsidRPr="00FB39DB">
        <w:rPr>
          <w:i/>
          <w:iCs/>
          <w:lang w:val="de-DE"/>
        </w:rPr>
        <w:t>Anthropologie in pragmatischer Hinsicht</w:t>
      </w:r>
      <w:r w:rsidR="00B251DA" w:rsidRPr="00FB39DB">
        <w:rPr>
          <w:lang w:val="de-DE"/>
        </w:rPr>
        <w:t xml:space="preserve"> – 1798</w:t>
      </w:r>
      <w:r w:rsidR="00B251DA" w:rsidRPr="00FB39DB">
        <w:rPr>
          <w:iCs/>
        </w:rPr>
        <w:t xml:space="preserve">) </w:t>
      </w:r>
      <w:r w:rsidR="003C204E" w:rsidRPr="00FB39DB">
        <w:rPr>
          <w:iCs/>
        </w:rPr>
        <w:t>is. Odafigyel</w:t>
      </w:r>
      <w:r w:rsidR="00156F12" w:rsidRPr="00FB39DB">
        <w:rPr>
          <w:iCs/>
        </w:rPr>
        <w:t>t</w:t>
      </w:r>
      <w:r w:rsidR="00000290" w:rsidRPr="00FB39DB">
        <w:rPr>
          <w:iCs/>
        </w:rPr>
        <w:t xml:space="preserve"> </w:t>
      </w:r>
      <w:r w:rsidR="00697E15" w:rsidRPr="00FB39DB">
        <w:rPr>
          <w:iCs/>
        </w:rPr>
        <w:t>ugya</w:t>
      </w:r>
      <w:r w:rsidR="000304A2" w:rsidRPr="00FB39DB">
        <w:rPr>
          <w:iCs/>
        </w:rPr>
        <w:t>nakkor</w:t>
      </w:r>
      <w:r w:rsidR="00697E15" w:rsidRPr="00FB39DB">
        <w:rPr>
          <w:iCs/>
        </w:rPr>
        <w:t xml:space="preserve"> </w:t>
      </w:r>
      <w:r w:rsidR="00000290" w:rsidRPr="00FB39DB">
        <w:rPr>
          <w:iCs/>
        </w:rPr>
        <w:t>a jo</w:t>
      </w:r>
      <w:r w:rsidR="00697E15" w:rsidRPr="00FB39DB">
        <w:rPr>
          <w:iCs/>
        </w:rPr>
        <w:t>g- és a történelemfilozófiára</w:t>
      </w:r>
      <w:r w:rsidR="000304A2" w:rsidRPr="00FB39DB">
        <w:rPr>
          <w:iCs/>
        </w:rPr>
        <w:t xml:space="preserve"> úgyszintén</w:t>
      </w:r>
      <w:r w:rsidR="00B251DA" w:rsidRPr="00FB39DB">
        <w:rPr>
          <w:iCs/>
        </w:rPr>
        <w:t xml:space="preserve"> (</w:t>
      </w:r>
      <w:r w:rsidR="003C204E" w:rsidRPr="00FB39DB">
        <w:rPr>
          <w:bCs/>
          <w:i/>
          <w:lang w:val="de-DE"/>
        </w:rPr>
        <w:t>Idee zu einer allgemeinen Geschichte in weltbürgerlicher Absicht</w:t>
      </w:r>
      <w:r w:rsidR="003C204E" w:rsidRPr="00FB39DB">
        <w:rPr>
          <w:lang w:val="de-DE"/>
        </w:rPr>
        <w:t xml:space="preserve"> – 1784)</w:t>
      </w:r>
      <w:r w:rsidR="0082640A">
        <w:rPr>
          <w:lang w:val="de-DE"/>
        </w:rPr>
        <w:t>.</w:t>
      </w:r>
      <w:r w:rsidR="006D6893">
        <w:rPr>
          <w:rStyle w:val="Lbjegyzet-hivatkozs"/>
          <w:lang w:val="de-DE"/>
        </w:rPr>
        <w:footnoteReference w:id="11"/>
      </w:r>
      <w:r w:rsidR="00D259D7" w:rsidRPr="00FB39DB">
        <w:rPr>
          <w:iCs/>
        </w:rPr>
        <w:t xml:space="preserve"> Így lehet még a 21. század elején is vitaalap, még akkor is, ha manapság felette is megkongatták már egyesek az elmúlás </w:t>
      </w:r>
      <w:r w:rsidR="00156F12" w:rsidRPr="00FB39DB">
        <w:rPr>
          <w:iCs/>
        </w:rPr>
        <w:t xml:space="preserve">vagy legalábbis az elévülés </w:t>
      </w:r>
      <w:r w:rsidR="00D259D7" w:rsidRPr="00FB39DB">
        <w:rPr>
          <w:iCs/>
        </w:rPr>
        <w:t>vészharangját</w:t>
      </w:r>
      <w:r w:rsidR="006D6893">
        <w:rPr>
          <w:rStyle w:val="Lbjegyzet-hivatkozs"/>
          <w:iCs/>
        </w:rPr>
        <w:footnoteReference w:id="12"/>
      </w:r>
      <w:r w:rsidR="00B251DA" w:rsidRPr="00FB39DB">
        <w:rPr>
          <w:iCs/>
        </w:rPr>
        <w:t>.</w:t>
      </w:r>
    </w:p>
    <w:p w:rsidR="003C204E" w:rsidRPr="00FB39DB" w:rsidRDefault="003C204E" w:rsidP="00C46EC9">
      <w:pPr>
        <w:spacing w:line="360" w:lineRule="auto"/>
        <w:ind w:firstLine="567"/>
        <w:jc w:val="both"/>
        <w:rPr>
          <w:color w:val="000000"/>
        </w:rPr>
      </w:pPr>
      <w:r w:rsidRPr="00FB39DB">
        <w:t xml:space="preserve">Figyelembe véve a kanti életmű fentebb feltüntetett adatait, szinte egyidejűség észlelhető a hazai fogadtatásban, amennyiben Rozgonyi József, a losonci gimnázium </w:t>
      </w:r>
      <w:r w:rsidR="005C66F9" w:rsidRPr="00FB39DB">
        <w:t xml:space="preserve">egykorú </w:t>
      </w:r>
      <w:r w:rsidRPr="00FB39DB">
        <w:t xml:space="preserve">tanára, </w:t>
      </w:r>
      <w:r w:rsidR="005C66F9" w:rsidRPr="00FB39DB">
        <w:t xml:space="preserve">már </w:t>
      </w:r>
      <w:r w:rsidRPr="00FB39DB">
        <w:t xml:space="preserve">1792-ben </w:t>
      </w:r>
      <w:r w:rsidR="005C66F9" w:rsidRPr="00FB39DB">
        <w:t>meg</w:t>
      </w:r>
      <w:r w:rsidRPr="00FB39DB">
        <w:t xml:space="preserve">jelentette </w:t>
      </w:r>
      <w:r w:rsidR="005C66F9" w:rsidRPr="00FB39DB">
        <w:t xml:space="preserve">Pesten </w:t>
      </w:r>
      <w:r w:rsidRPr="00FB39DB">
        <w:t xml:space="preserve">Trattner Mátyás nyomdájában egyik legjelentősebb művét, </w:t>
      </w:r>
      <w:r w:rsidR="005C66F9" w:rsidRPr="00FB39DB">
        <w:t>amelynek címe</w:t>
      </w:r>
      <w:r w:rsidRPr="00FB39DB">
        <w:rPr>
          <w:i/>
        </w:rPr>
        <w:t xml:space="preserve"> Dubia de initiis transcendentalis idealismi Kantiani</w:t>
      </w:r>
      <w:r w:rsidRPr="00FB39DB">
        <w:t xml:space="preserve">, azaz magyarul: </w:t>
      </w:r>
      <w:r w:rsidR="005C66F9" w:rsidRPr="00FB39DB">
        <w:t>„</w:t>
      </w:r>
      <w:r w:rsidRPr="006D6893">
        <w:rPr>
          <w:i/>
        </w:rPr>
        <w:t>Kételyek a kanti transzcendentális idealizmus alapelveivel kapcsolatban</w:t>
      </w:r>
      <w:r w:rsidR="00156F12" w:rsidRPr="00FB39DB">
        <w:t>”</w:t>
      </w:r>
      <w:r w:rsidR="006D6893">
        <w:rPr>
          <w:rStyle w:val="Lbjegyzet-hivatkozs"/>
        </w:rPr>
        <w:footnoteReference w:id="13"/>
      </w:r>
      <w:r w:rsidR="00156F12" w:rsidRPr="00FB39DB">
        <w:t>. Í</w:t>
      </w:r>
      <w:r w:rsidR="005C66F9" w:rsidRPr="00FB39DB">
        <w:t>gy</w:t>
      </w:r>
      <w:r w:rsidRPr="00FB39DB">
        <w:t xml:space="preserve"> </w:t>
      </w:r>
      <w:r w:rsidR="005C66F9" w:rsidRPr="00FB39DB">
        <w:t>egyértelműen</w:t>
      </w:r>
      <w:r w:rsidR="00156F12" w:rsidRPr="00FB39DB">
        <w:t xml:space="preserve"> vitairatról van szó</w:t>
      </w:r>
      <w:r w:rsidR="005C66F9" w:rsidRPr="00FB39DB">
        <w:t>, nem pedig valami egyszerű ismertetés</w:t>
      </w:r>
      <w:r w:rsidR="00156F12" w:rsidRPr="00FB39DB">
        <w:t>ről</w:t>
      </w:r>
      <w:r w:rsidR="005C66F9" w:rsidRPr="00FB39DB">
        <w:t>, összefoglaló kivonat</w:t>
      </w:r>
      <w:r w:rsidR="00156F12" w:rsidRPr="00FB39DB">
        <w:t>ról</w:t>
      </w:r>
      <w:r w:rsidRPr="00FB39DB">
        <w:t xml:space="preserve">. </w:t>
      </w:r>
      <w:r w:rsidR="005C66F9" w:rsidRPr="00FB39DB">
        <w:t xml:space="preserve">S ez már eleve mutat egyfajta önálló megközelítést. </w:t>
      </w:r>
      <w:r w:rsidRPr="00FB39DB">
        <w:t xml:space="preserve">Kant filozófiájával kapcsolatban </w:t>
      </w:r>
      <w:r w:rsidR="009A0C30" w:rsidRPr="00FB39DB">
        <w:t xml:space="preserve">azonban </w:t>
      </w:r>
      <w:r w:rsidRPr="00FB39DB">
        <w:t xml:space="preserve">a felvilágosodás magyarországi kibontakozásától kezdődően többféle állásfoglalás </w:t>
      </w:r>
      <w:r w:rsidR="00263413" w:rsidRPr="00FB39DB">
        <w:t xml:space="preserve">is </w:t>
      </w:r>
      <w:r w:rsidRPr="00FB39DB">
        <w:t xml:space="preserve">született, egyaránt érték </w:t>
      </w:r>
      <w:r w:rsidR="00263413" w:rsidRPr="00FB39DB">
        <w:t xml:space="preserve">ugyanis </w:t>
      </w:r>
      <w:r w:rsidRPr="00FB39DB">
        <w:t>támadások akár a radikálisok, akár a konzervatív teológia részéről</w:t>
      </w:r>
      <w:r w:rsidR="005C66F9" w:rsidRPr="00FB39DB">
        <w:t xml:space="preserve">, miközben akadtak </w:t>
      </w:r>
      <w:r w:rsidR="00263413" w:rsidRPr="00FB39DB">
        <w:t xml:space="preserve">ugyanakkor </w:t>
      </w:r>
      <w:r w:rsidR="005C66F9" w:rsidRPr="00FB39DB">
        <w:t>egyértelmű követői és csodálói. E</w:t>
      </w:r>
      <w:r w:rsidRPr="00FB39DB">
        <w:t xml:space="preserve">z utóbbi irányzathoz </w:t>
      </w:r>
      <w:r w:rsidR="005C66F9" w:rsidRPr="00FB39DB">
        <w:t xml:space="preserve">sorolhatjuk pl. a </w:t>
      </w:r>
      <w:r w:rsidR="009A0C30" w:rsidRPr="00FB39DB">
        <w:t xml:space="preserve">pápai tanárt, </w:t>
      </w:r>
      <w:r w:rsidR="009A0C30" w:rsidRPr="00FB39DB">
        <w:rPr>
          <w:iCs/>
        </w:rPr>
        <w:t>Márton Istvánt, aki</w:t>
      </w:r>
      <w:r w:rsidR="009A0C30" w:rsidRPr="00FB39DB">
        <w:rPr>
          <w:i/>
          <w:iCs/>
        </w:rPr>
        <w:t xml:space="preserve"> </w:t>
      </w:r>
      <w:r w:rsidR="009A0C30" w:rsidRPr="00FB39DB">
        <w:t xml:space="preserve">1796-ban kiadott </w:t>
      </w:r>
      <w:r w:rsidR="009A0C30" w:rsidRPr="00FB39DB">
        <w:rPr>
          <w:i/>
          <w:iCs/>
        </w:rPr>
        <w:t>K</w:t>
      </w:r>
      <w:r w:rsidR="0082640A">
        <w:rPr>
          <w:i/>
          <w:iCs/>
        </w:rPr>
        <w:t>eresztyén Theologusi Morál vagy-</w:t>
      </w:r>
      <w:r w:rsidR="009A0C30" w:rsidRPr="00FB39DB">
        <w:rPr>
          <w:i/>
          <w:iCs/>
        </w:rPr>
        <w:t xml:space="preserve">is Erköltstudomány </w:t>
      </w:r>
      <w:r w:rsidR="009A0C30" w:rsidRPr="00FB39DB">
        <w:t xml:space="preserve">c. közel ezer lapot kitevő munkájában egyértelműen a magáévá tette a német filozófus erkölcsfilozófiáját, megkövetelve az ahhoz </w:t>
      </w:r>
      <w:r w:rsidR="009A0C30" w:rsidRPr="00FB39DB">
        <w:lastRenderedPageBreak/>
        <w:t>való igazodást</w:t>
      </w:r>
      <w:r w:rsidR="006D6893">
        <w:rPr>
          <w:rStyle w:val="Lbjegyzet-hivatkozs"/>
        </w:rPr>
        <w:footnoteReference w:id="14"/>
      </w:r>
      <w:r w:rsidR="009A0C30" w:rsidRPr="00FB39DB">
        <w:t>.</w:t>
      </w:r>
      <w:r w:rsidR="003A122C" w:rsidRPr="00FB39DB">
        <w:t xml:space="preserve"> A munka mégsem mellőz minden eredetiséget, mert a szerző művéhez egy</w:t>
      </w:r>
      <w:r w:rsidR="009A0C30" w:rsidRPr="00FB39DB">
        <w:t xml:space="preserve"> </w:t>
      </w:r>
      <w:r w:rsidR="009A0C30" w:rsidRPr="00FB39DB">
        <w:rPr>
          <w:i/>
          <w:iCs/>
        </w:rPr>
        <w:t>Erkölcsi szótár</w:t>
      </w:r>
      <w:r w:rsidR="003A122C" w:rsidRPr="00FB39DB">
        <w:rPr>
          <w:i/>
          <w:iCs/>
        </w:rPr>
        <w:t>-</w:t>
      </w:r>
      <w:r w:rsidR="003A122C" w:rsidRPr="00FB39DB">
        <w:rPr>
          <w:iCs/>
        </w:rPr>
        <w:t>t is mellékelt, amely talán az első</w:t>
      </w:r>
      <w:r w:rsidR="009A0C30" w:rsidRPr="00FB39DB">
        <w:rPr>
          <w:i/>
          <w:iCs/>
        </w:rPr>
        <w:t xml:space="preserve"> </w:t>
      </w:r>
      <w:r w:rsidR="003A122C" w:rsidRPr="00FB39DB">
        <w:t>magyar nyelvű</w:t>
      </w:r>
      <w:r w:rsidR="009A0C30" w:rsidRPr="00FB39DB">
        <w:t xml:space="preserve"> filozófiai</w:t>
      </w:r>
      <w:r w:rsidR="003A122C" w:rsidRPr="00FB39DB">
        <w:t xml:space="preserve"> </w:t>
      </w:r>
      <w:r w:rsidR="009A0C30" w:rsidRPr="00FB39DB">
        <w:t>szótár</w:t>
      </w:r>
      <w:r w:rsidR="003A122C" w:rsidRPr="00FB39DB">
        <w:t xml:space="preserve"> mintegy száz lap terjedelemben. Nála felkészültebbnek és eredményesebbnek mutatkozott</w:t>
      </w:r>
      <w:r w:rsidR="00C15B3B" w:rsidRPr="00FB39DB">
        <w:t xml:space="preserve">, de </w:t>
      </w:r>
      <w:r w:rsidR="003A122C" w:rsidRPr="00FB39DB">
        <w:t>már a 19. század kezdetén</w:t>
      </w:r>
      <w:r w:rsidR="00C15B3B" w:rsidRPr="00FB39DB">
        <w:t xml:space="preserve"> az erdélyi </w:t>
      </w:r>
      <w:r w:rsidR="009A0C30" w:rsidRPr="00FB39DB">
        <w:rPr>
          <w:iCs/>
        </w:rPr>
        <w:t>Köteles Sámuel</w:t>
      </w:r>
      <w:r w:rsidR="009A0C30" w:rsidRPr="00FB39DB">
        <w:t xml:space="preserve">, </w:t>
      </w:r>
      <w:r w:rsidR="00C15B3B" w:rsidRPr="00FB39DB">
        <w:t xml:space="preserve">aki </w:t>
      </w:r>
      <w:r w:rsidR="009A0C30" w:rsidRPr="00FB39DB">
        <w:t>marosvá</w:t>
      </w:r>
      <w:r w:rsidR="00C15B3B" w:rsidRPr="00FB39DB">
        <w:t>sárhelyi, majd nagyenyedi tanárként</w:t>
      </w:r>
      <w:r w:rsidR="009A0C30" w:rsidRPr="00FB39DB">
        <w:t xml:space="preserve"> </w:t>
      </w:r>
      <w:r w:rsidR="00C15B3B" w:rsidRPr="00FB39DB">
        <w:t>egy</w:t>
      </w:r>
      <w:r w:rsidR="009A0C30" w:rsidRPr="00FB39DB">
        <w:t>érte</w:t>
      </w:r>
      <w:r w:rsidR="00C15B3B" w:rsidRPr="00FB39DB">
        <w:t>l</w:t>
      </w:r>
      <w:r w:rsidR="009A0C30" w:rsidRPr="00FB39DB">
        <w:t>m</w:t>
      </w:r>
      <w:r w:rsidR="00C15B3B" w:rsidRPr="00FB39DB">
        <w:t xml:space="preserve">űen Kant tanítványaként mutatkozott meg nyomtatásban megjelent munkája révén. Ez az írás, amely a </w:t>
      </w:r>
      <w:r w:rsidR="009A0C30" w:rsidRPr="00FB39DB">
        <w:rPr>
          <w:i/>
          <w:iCs/>
        </w:rPr>
        <w:t xml:space="preserve">Logika avagy az értelem tudománya </w:t>
      </w:r>
      <w:r w:rsidR="00C15B3B" w:rsidRPr="00FB39DB">
        <w:rPr>
          <w:iCs/>
        </w:rPr>
        <w:t xml:space="preserve">címet viselte, először </w:t>
      </w:r>
      <w:r w:rsidR="009A0C30" w:rsidRPr="00FB39DB">
        <w:t>1808</w:t>
      </w:r>
      <w:r w:rsidR="00C15B3B" w:rsidRPr="00FB39DB">
        <w:t xml:space="preserve">-ban látott napvilágot, s hamarosan további két kiadást is megért, miközben a tudós mester a német bölcselő </w:t>
      </w:r>
      <w:r w:rsidR="006D14CC" w:rsidRPr="00FB39DB">
        <w:t>egyéb</w:t>
      </w:r>
      <w:r w:rsidR="00C15B3B" w:rsidRPr="00FB39DB">
        <w:t xml:space="preserve"> nézeteit is a magáévá tette, beleértve például filozófiai antropológiáját is</w:t>
      </w:r>
      <w:r w:rsidR="006D14CC" w:rsidRPr="00FB39DB">
        <w:t xml:space="preserve">, de mindenekelőtt erkölcstanát. Mindezt </w:t>
      </w:r>
      <w:r w:rsidR="00263413" w:rsidRPr="00FB39DB">
        <w:t xml:space="preserve">a hatalmas </w:t>
      </w:r>
      <w:r w:rsidR="0082640A" w:rsidRPr="00FB39DB">
        <w:t>diszciplínát</w:t>
      </w:r>
      <w:r w:rsidR="00263413" w:rsidRPr="00FB39DB">
        <w:t xml:space="preserve"> </w:t>
      </w:r>
      <w:r w:rsidR="009A0C30" w:rsidRPr="00FB39DB">
        <w:t>Köteles</w:t>
      </w:r>
      <w:r w:rsidR="006D14CC" w:rsidRPr="00FB39DB">
        <w:t xml:space="preserve"> úgy fejtette ki, hogy egyike lett </w:t>
      </w:r>
      <w:r w:rsidR="009A0C30" w:rsidRPr="00FB39DB">
        <w:t>a magyar bölcseleti gondolkozás</w:t>
      </w:r>
      <w:r w:rsidR="006D14CC" w:rsidRPr="00FB39DB">
        <w:t xml:space="preserve"> szaknyelve megalkotóinak, számos további Kant tanítványt nevelve ki</w:t>
      </w:r>
      <w:r w:rsidR="006D6893">
        <w:rPr>
          <w:rStyle w:val="Lbjegyzet-hivatkozs"/>
        </w:rPr>
        <w:footnoteReference w:id="15"/>
      </w:r>
      <w:r w:rsidR="006D14CC" w:rsidRPr="00FB39DB">
        <w:t>. Mindettől jelentősen különbözött</w:t>
      </w:r>
      <w:r w:rsidRPr="00FB39DB">
        <w:rPr>
          <w:color w:val="000000"/>
        </w:rPr>
        <w:t xml:space="preserve"> Rozgonyi József, aki olyan híres </w:t>
      </w:r>
      <w:r w:rsidR="006D14CC" w:rsidRPr="00FB39DB">
        <w:rPr>
          <w:color w:val="000000"/>
        </w:rPr>
        <w:t xml:space="preserve">német </w:t>
      </w:r>
      <w:r w:rsidRPr="00FB39DB">
        <w:rPr>
          <w:color w:val="000000"/>
        </w:rPr>
        <w:t xml:space="preserve">professzorok előadásai nyomán fogalmazta meg </w:t>
      </w:r>
      <w:r w:rsidR="003D1D8E" w:rsidRPr="00FB39DB">
        <w:rPr>
          <w:color w:val="000000"/>
        </w:rPr>
        <w:t xml:space="preserve">a maga kételyekkel terhes </w:t>
      </w:r>
      <w:r w:rsidRPr="00FB39DB">
        <w:rPr>
          <w:color w:val="000000"/>
        </w:rPr>
        <w:t xml:space="preserve">elképzeléseit, mint L. H. von Jakob és K. L. Reinhold. Rozgonyinak – részben Reinhold nyomán – az volt az álláspontja, hogy a D. Hume által lángra lobbantott szellemi tüzet Kantnak nem sikerült eloltania. A Kant nevével jelzett egész kritikai filozófiáról </w:t>
      </w:r>
      <w:r w:rsidR="00FC3D33" w:rsidRPr="00FB39DB">
        <w:rPr>
          <w:color w:val="000000"/>
        </w:rPr>
        <w:t xml:space="preserve">pedig </w:t>
      </w:r>
      <w:r w:rsidRPr="00FB39DB">
        <w:rPr>
          <w:color w:val="000000"/>
        </w:rPr>
        <w:t>úgy vélte, hogy az lényegében nem is eredeti, hanem valójában a skót bölcselő gondolataiból táplálkozik. A mű alapján az a kép alakul ki, hogy Rozgonyi kitűnően ismerte a korabeli Európa filozófiai irányzatait, amelyek értékelésében azonban számára a legfőbb igazodást mégis az antik természetfilozófia jelentette</w:t>
      </w:r>
      <w:r w:rsidR="003D1D8E" w:rsidRPr="00FB39DB">
        <w:rPr>
          <w:color w:val="000000"/>
        </w:rPr>
        <w:t>, s ennek megfelelően hű maradt a magyarországi bölcselet addigi első számú nyelvéhez: a latinhoz, amelynek használatában rendkívül precíznek és csiszolt í</w:t>
      </w:r>
      <w:r w:rsidR="00B1478D" w:rsidRPr="00FB39DB">
        <w:rPr>
          <w:color w:val="000000"/>
        </w:rPr>
        <w:t>zléssel rendelkezőnek mutatkozott ebben a szakmunkájában csakúgy, mint életműve más darabjaiban</w:t>
      </w:r>
      <w:r w:rsidRPr="00FB39DB">
        <w:rPr>
          <w:color w:val="000000"/>
        </w:rPr>
        <w:t>.</w:t>
      </w:r>
    </w:p>
    <w:p w:rsidR="00847D98" w:rsidRPr="00FB39DB" w:rsidRDefault="00B1478D" w:rsidP="00C46EC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B39DB">
        <w:rPr>
          <w:color w:val="000000"/>
        </w:rPr>
        <w:t>Előre kell bocsátanom, hogy megalapozott</w:t>
      </w:r>
      <w:r w:rsidR="00132DC0" w:rsidRPr="00FB39DB">
        <w:rPr>
          <w:color w:val="000000"/>
        </w:rPr>
        <w:t xml:space="preserve"> Málnási Bartók György csaknem egy évszázaddal </w:t>
      </w:r>
      <w:r w:rsidR="00176E3C" w:rsidRPr="00FB39DB">
        <w:rPr>
          <w:color w:val="000000"/>
        </w:rPr>
        <w:t xml:space="preserve">ezelőtt </w:t>
      </w:r>
      <w:r w:rsidR="00132DC0" w:rsidRPr="00FB39DB">
        <w:rPr>
          <w:color w:val="000000"/>
        </w:rPr>
        <w:t>tett ama megállapítása, h</w:t>
      </w:r>
      <w:r w:rsidR="00132DC0" w:rsidRPr="00FB39DB">
        <w:t>ogy Rozgonyi nem másodkézből ismerte Kant teóriáját, hanem gondos szövegvizsgálatok és logikai megfontolások alapján alakította ki a maga tartózkodó álláspontját</w:t>
      </w:r>
      <w:r w:rsidR="00F23922" w:rsidRPr="00FB39DB">
        <w:t>, amelyet idevágó későbbi írásaiban</w:t>
      </w:r>
      <w:r w:rsidR="00176E3C" w:rsidRPr="00FB39DB">
        <w:t>, pl. losonci székfoglalójában úgyszintén</w:t>
      </w:r>
      <w:r w:rsidR="00F23922" w:rsidRPr="00FB39DB">
        <w:t xml:space="preserve"> fenntartott. Tegyük hozzá</w:t>
      </w:r>
      <w:r w:rsidR="00176E3C" w:rsidRPr="00FB39DB">
        <w:t>, hogy</w:t>
      </w:r>
      <w:r w:rsidR="00F23922" w:rsidRPr="00FB39DB">
        <w:t xml:space="preserve"> ez </w:t>
      </w:r>
      <w:r w:rsidR="00176E3C" w:rsidRPr="00FB39DB">
        <w:t xml:space="preserve">a kétkedés </w:t>
      </w:r>
      <w:r w:rsidR="00F23922" w:rsidRPr="00FB39DB">
        <w:t xml:space="preserve">nem csupán </w:t>
      </w:r>
      <w:r w:rsidR="00176E3C" w:rsidRPr="00FB39DB">
        <w:t xml:space="preserve">a Rozgonyira jellemző </w:t>
      </w:r>
      <w:r w:rsidR="00F23922" w:rsidRPr="00FB39DB">
        <w:t>konzervatív</w:t>
      </w:r>
      <w:r w:rsidR="00176E3C" w:rsidRPr="00FB39DB">
        <w:t xml:space="preserve"> megközelítés</w:t>
      </w:r>
      <w:r w:rsidR="00F23922" w:rsidRPr="00FB39DB">
        <w:t>ben érzékelhető, mint pl. azon állításában</w:t>
      </w:r>
      <w:r w:rsidR="00176E3C" w:rsidRPr="00FB39DB">
        <w:t>, hogy</w:t>
      </w:r>
      <w:r w:rsidR="00F23922" w:rsidRPr="00FB39DB">
        <w:t xml:space="preserve"> Kant filozófiája </w:t>
      </w:r>
      <w:r w:rsidR="00176E3C" w:rsidRPr="00FB39DB">
        <w:lastRenderedPageBreak/>
        <w:t>lényegében</w:t>
      </w:r>
      <w:r w:rsidR="00F23922" w:rsidRPr="00FB39DB">
        <w:t xml:space="preserve"> ellentétben áll az evangéliummal, </w:t>
      </w:r>
      <w:r w:rsidR="00176E3C" w:rsidRPr="00FB39DB">
        <w:t xml:space="preserve">s </w:t>
      </w:r>
      <w:r w:rsidR="0082640A" w:rsidRPr="00FB39DB">
        <w:t>ennél fogva</w:t>
      </w:r>
      <w:r w:rsidR="00176E3C" w:rsidRPr="00FB39DB">
        <w:t xml:space="preserve"> </w:t>
      </w:r>
      <w:r w:rsidR="00176E3C" w:rsidRPr="000F3C61">
        <w:t>„</w:t>
      </w:r>
      <w:r w:rsidR="00F23922" w:rsidRPr="000F3C61">
        <w:t>teljesen formálissá teszi az erényt</w:t>
      </w:r>
      <w:r w:rsidR="00176E3C" w:rsidRPr="000F3C61">
        <w:t>”,</w:t>
      </w:r>
      <w:r w:rsidR="00176E3C" w:rsidRPr="00FB39DB">
        <w:t xml:space="preserve"> miközben megfogalmazásai helyenként szinte alig</w:t>
      </w:r>
      <w:r w:rsidR="00F23922" w:rsidRPr="00FB39DB">
        <w:t xml:space="preserve"> érthet</w:t>
      </w:r>
      <w:r w:rsidR="00176E3C" w:rsidRPr="00FB39DB">
        <w:t>ő</w:t>
      </w:r>
      <w:r w:rsidR="00F23922" w:rsidRPr="00FB39DB">
        <w:t>e</w:t>
      </w:r>
      <w:r w:rsidR="00176E3C" w:rsidRPr="00FB39DB">
        <w:t>k</w:t>
      </w:r>
      <w:r w:rsidR="006D6893">
        <w:rPr>
          <w:rStyle w:val="Lbjegyzet-hivatkozs"/>
        </w:rPr>
        <w:footnoteReference w:id="16"/>
      </w:r>
      <w:r w:rsidR="00176E3C" w:rsidRPr="00FB39DB">
        <w:t xml:space="preserve">, hanem </w:t>
      </w:r>
      <w:r w:rsidR="00ED71E6">
        <w:t xml:space="preserve">az elhatárolódás és a fenntartás </w:t>
      </w:r>
      <w:r w:rsidR="00176E3C" w:rsidRPr="00FB39DB">
        <w:t>a német filozófus ismeretelméleti felfogásának saját önálló olvasatában történő taglalása során</w:t>
      </w:r>
      <w:r w:rsidR="00F23922" w:rsidRPr="00FB39DB">
        <w:t xml:space="preserve"> is</w:t>
      </w:r>
      <w:r w:rsidR="00176E3C" w:rsidRPr="00FB39DB">
        <w:t xml:space="preserve"> nagyon jól megmutatkozik</w:t>
      </w:r>
      <w:r w:rsidR="00F23922" w:rsidRPr="00FB39DB">
        <w:t>.</w:t>
      </w:r>
    </w:p>
    <w:p w:rsidR="00F23922" w:rsidRPr="004E1CC0" w:rsidRDefault="00847D98" w:rsidP="00C46EC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B39DB">
        <w:t>Rozgonyi helyesen rögzíti, hogy Kant ismeretelmélete Hume szkepticizmusá</w:t>
      </w:r>
      <w:r w:rsidRPr="004E1CC0">
        <w:t>ból indult ki</w:t>
      </w:r>
      <w:r w:rsidR="006F1312" w:rsidRPr="004E1CC0">
        <w:t xml:space="preserve"> kritikai hozzáállással, s ez önmagában</w:t>
      </w:r>
      <w:r w:rsidRPr="004E1CC0">
        <w:t xml:space="preserve"> </w:t>
      </w:r>
      <w:r w:rsidR="006F1312" w:rsidRPr="004E1CC0">
        <w:t>indokolt is, ám az így elért végkövetkeztetésekkel szemben súlyos ellenvetéseket lehet tenni. Akkor ugyanis, amikor a königsbergi bölcselő azt vallja, hogy a valóság világa kizárólag a jelenségek világa, s ezt a nézetét mondja a kritikai transzcendentális ideálizmus tanának, valójában nem oldja meg a skót szkeptikus megközelítés</w:t>
      </w:r>
      <w:r w:rsidR="0025421F" w:rsidRPr="004E1CC0">
        <w:t>e</w:t>
      </w:r>
      <w:r w:rsidR="006F1312" w:rsidRPr="004E1CC0">
        <w:t xml:space="preserve"> á</w:t>
      </w:r>
      <w:r w:rsidR="00D50C27" w:rsidRPr="004E1CC0">
        <w:t>ltal nyitva hagyott problémákat. Inkább</w:t>
      </w:r>
      <w:r w:rsidR="006F1312" w:rsidRPr="004E1CC0">
        <w:t xml:space="preserve"> csak további</w:t>
      </w:r>
      <w:r w:rsidR="00D50C27" w:rsidRPr="004E1CC0">
        <w:t xml:space="preserve"> nehézségekkel</w:t>
      </w:r>
      <w:r w:rsidR="006F1312" w:rsidRPr="004E1CC0">
        <w:t xml:space="preserve"> terheli meg</w:t>
      </w:r>
      <w:r w:rsidR="00782710" w:rsidRPr="004E1CC0">
        <w:t xml:space="preserve"> azokat</w:t>
      </w:r>
      <w:r w:rsidR="0025421F" w:rsidRPr="004E1CC0">
        <w:t>, amennyiben azt állítja, hogy minden az értelem alapfogalmain, a kategóriákon múlik, amelyeket az ész ugyanazon törvények alapján hoz létre</w:t>
      </w:r>
      <w:r w:rsidRPr="004E1CC0">
        <w:t xml:space="preserve"> a tér- és időszemlélet formái</w:t>
      </w:r>
      <w:r w:rsidR="0025421F" w:rsidRPr="004E1CC0">
        <w:t xml:space="preserve"> között</w:t>
      </w:r>
      <w:r w:rsidR="00AD4459" w:rsidRPr="004E1CC0">
        <w:t xml:space="preserve"> pusztán a képességek alapján</w:t>
      </w:r>
      <w:r w:rsidR="0025421F" w:rsidRPr="004E1CC0">
        <w:t>.</w:t>
      </w:r>
      <w:r w:rsidR="00F23922" w:rsidRPr="004E1CC0">
        <w:t xml:space="preserve"> </w:t>
      </w:r>
      <w:r w:rsidR="00D50C27" w:rsidRPr="004E1CC0">
        <w:t xml:space="preserve">Ezzel </w:t>
      </w:r>
      <w:r w:rsidR="00782710" w:rsidRPr="004E1CC0">
        <w:t xml:space="preserve">pedig </w:t>
      </w:r>
      <w:r w:rsidR="00D50C27" w:rsidRPr="004E1CC0">
        <w:t xml:space="preserve">valójában </w:t>
      </w:r>
      <w:r w:rsidR="00D50C27" w:rsidRPr="000F3C61">
        <w:t>„feje tetejére állítja”</w:t>
      </w:r>
      <w:r w:rsidR="00D50C27" w:rsidRPr="004E1CC0">
        <w:t xml:space="preserve"> a dolgokat, mert</w:t>
      </w:r>
      <w:r w:rsidR="00F17EE8" w:rsidRPr="004E1CC0">
        <w:t xml:space="preserve"> maga </w:t>
      </w:r>
      <w:r w:rsidR="00D50C27" w:rsidRPr="004E1CC0">
        <w:t>Kant valójában a legkevésbé törődik azzal, hogy vajon ez a</w:t>
      </w:r>
      <w:r w:rsidR="00AD4459" w:rsidRPr="004E1CC0">
        <w:t>z apriorisztikus</w:t>
      </w:r>
      <w:r w:rsidR="00D50C27" w:rsidRPr="004E1CC0">
        <w:t xml:space="preserve"> nézet összhangban van-e a </w:t>
      </w:r>
      <w:r w:rsidR="0082640A" w:rsidRPr="004E1CC0">
        <w:t>józanésszel</w:t>
      </w:r>
      <w:r w:rsidR="00F17EE8" w:rsidRPr="004E1CC0">
        <w:t xml:space="preserve"> </w:t>
      </w:r>
      <w:r w:rsidR="00AD4459" w:rsidRPr="004E1CC0">
        <w:t xml:space="preserve">magával </w:t>
      </w:r>
      <w:r w:rsidR="00F17EE8" w:rsidRPr="004E1CC0">
        <w:t xml:space="preserve">(vö. </w:t>
      </w:r>
      <w:r w:rsidR="00F17EE8" w:rsidRPr="004E1CC0">
        <w:rPr>
          <w:i/>
        </w:rPr>
        <w:t xml:space="preserve">De eo utrum haec sententia sensui communi sit conformis, Cl/arissimus/ Kantius parum fuit contentus – Dubia, </w:t>
      </w:r>
      <w:r w:rsidR="00ED71E6">
        <w:t>p. 16</w:t>
      </w:r>
      <w:r w:rsidR="00F17EE8" w:rsidRPr="004E1CC0">
        <w:t>)</w:t>
      </w:r>
      <w:r w:rsidR="006D6893">
        <w:rPr>
          <w:rStyle w:val="Lbjegyzet-hivatkozs"/>
        </w:rPr>
        <w:footnoteReference w:id="17"/>
      </w:r>
      <w:r w:rsidR="00FB39DB" w:rsidRPr="004E1CC0">
        <w:t>.</w:t>
      </w:r>
    </w:p>
    <w:p w:rsidR="00C65522" w:rsidRPr="004E1CC0" w:rsidRDefault="00782710" w:rsidP="00C46EC9">
      <w:pPr>
        <w:spacing w:line="360" w:lineRule="auto"/>
        <w:ind w:firstLine="567"/>
        <w:jc w:val="both"/>
      </w:pPr>
      <w:r w:rsidRPr="004E1CC0">
        <w:t xml:space="preserve">Rozgonyi szerint a kantiánusok a </w:t>
      </w:r>
      <w:r w:rsidR="0082640A" w:rsidRPr="004E1CC0">
        <w:t>józanészen</w:t>
      </w:r>
      <w:r w:rsidRPr="004E1CC0">
        <w:t xml:space="preserve"> valójában a köznép észjárását, sőt néha kifejezetten az abszurdot értik, ami a skót szkepticizmustól ugyanúgy távol áll, ahogy általában a filozófiától. Mindez egyáltalán</w:t>
      </w:r>
      <w:r w:rsidR="00C65522" w:rsidRPr="004E1CC0">
        <w:t xml:space="preserve"> nem indokolt, mert Hume kételye az ok-okozati összefüggéssel kapcsolatban </w:t>
      </w:r>
      <w:r w:rsidR="0079494F" w:rsidRPr="004E1CC0">
        <w:t xml:space="preserve">ill. annak a körülménynek megfelelően, hogy szerinte nem lehetséges az </w:t>
      </w:r>
      <w:r w:rsidR="0082640A" w:rsidRPr="004E1CC0">
        <w:t>indukció,</w:t>
      </w:r>
      <w:r w:rsidR="0079494F" w:rsidRPr="004E1CC0">
        <w:t xml:space="preserve"> vagyis a levezetés módszere,</w:t>
      </w:r>
      <w:r w:rsidR="00C65522" w:rsidRPr="004E1CC0">
        <w:t xml:space="preserve"> egyáltalán nem volt olyan nagy, hogy eloszlatásához az egész korábbi rendszert egy új és hatalmas apparátus segítségével kelljen felszámolni, főleg, ha Kant képtelennek is bizonyul kielégítő választ adni</w:t>
      </w:r>
      <w:r w:rsidR="0079494F" w:rsidRPr="004E1CC0">
        <w:t xml:space="preserve"> Hume- problémájára</w:t>
      </w:r>
      <w:r w:rsidR="00C65522" w:rsidRPr="004E1CC0">
        <w:t>.</w:t>
      </w:r>
    </w:p>
    <w:p w:rsidR="002D1D8D" w:rsidRDefault="0079494F" w:rsidP="00C46EC9">
      <w:pPr>
        <w:pStyle w:val="NormlWeb"/>
        <w:spacing w:line="360" w:lineRule="auto"/>
        <w:ind w:firstLine="567"/>
        <w:jc w:val="both"/>
      </w:pPr>
      <w:r w:rsidRPr="004E1CC0">
        <w:t xml:space="preserve">Mint </w:t>
      </w:r>
      <w:r w:rsidR="00D00DDA" w:rsidRPr="004E1CC0">
        <w:t xml:space="preserve">a </w:t>
      </w:r>
      <w:r w:rsidR="00D00DDA" w:rsidRPr="004E1CC0">
        <w:rPr>
          <w:i/>
        </w:rPr>
        <w:t>Dubia-</w:t>
      </w:r>
      <w:r w:rsidR="00D00DDA" w:rsidRPr="004E1CC0">
        <w:t xml:space="preserve">ról adott </w:t>
      </w:r>
      <w:r w:rsidRPr="004E1CC0">
        <w:t xml:space="preserve">eddigi összefoglalásunkból is kiderülhetett, a sárospataki filozófiaprofesszor </w:t>
      </w:r>
      <w:r w:rsidR="00D00DDA" w:rsidRPr="004E1CC0">
        <w:t>nem szűkí</w:t>
      </w:r>
      <w:r w:rsidRPr="004E1CC0">
        <w:t>ti le a</w:t>
      </w:r>
      <w:r w:rsidR="00D00DDA" w:rsidRPr="004E1CC0">
        <w:t>z általa felvetett</w:t>
      </w:r>
      <w:r w:rsidRPr="004E1CC0">
        <w:t xml:space="preserve"> kérdést pusztán Kant</w:t>
      </w:r>
      <w:r w:rsidR="008E5F7D">
        <w:t>nak</w:t>
      </w:r>
      <w:r w:rsidRPr="004E1CC0">
        <w:t xml:space="preserve"> </w:t>
      </w:r>
      <w:r w:rsidR="008E5F7D">
        <w:t>Hume-mal való</w:t>
      </w:r>
      <w:r w:rsidRPr="004E1CC0">
        <w:t xml:space="preserve"> vitájára, hanem </w:t>
      </w:r>
      <w:r w:rsidR="00C24CCC" w:rsidRPr="004E1CC0">
        <w:t xml:space="preserve">tisztában van vele, hogy itt általában a skót szkeptikusok és a kantiánusok </w:t>
      </w:r>
      <w:r w:rsidR="008E5F7D">
        <w:t xml:space="preserve">hol </w:t>
      </w:r>
      <w:r w:rsidR="00C24CCC" w:rsidRPr="004E1CC0">
        <w:t>éles</w:t>
      </w:r>
      <w:r w:rsidR="008E5F7D">
        <w:t>, hol leplezni kívánt</w:t>
      </w:r>
      <w:r w:rsidR="00C24CCC" w:rsidRPr="004E1CC0">
        <w:t xml:space="preserve"> nézetkülönbségéről van szó, </w:t>
      </w:r>
      <w:r w:rsidR="00D00DDA" w:rsidRPr="004E1CC0">
        <w:t xml:space="preserve">s az </w:t>
      </w:r>
      <w:r w:rsidR="00C24CCC" w:rsidRPr="004E1CC0">
        <w:t xml:space="preserve">utóbbiak közül </w:t>
      </w:r>
      <w:r w:rsidR="00D00DDA" w:rsidRPr="004E1CC0">
        <w:t xml:space="preserve">külön </w:t>
      </w:r>
      <w:r w:rsidR="00C24CCC" w:rsidRPr="004E1CC0">
        <w:t>kiemeli azt a</w:t>
      </w:r>
      <w:r w:rsidRPr="004E1CC0">
        <w:t xml:space="preserve"> </w:t>
      </w:r>
      <w:r w:rsidRPr="004E1CC0">
        <w:lastRenderedPageBreak/>
        <w:t xml:space="preserve">Moses </w:t>
      </w:r>
      <w:r w:rsidR="00C24CCC" w:rsidRPr="004E1CC0">
        <w:t xml:space="preserve">Mendelssohnt </w:t>
      </w:r>
      <w:r w:rsidRPr="004E1CC0">
        <w:t xml:space="preserve">(1729–1786), </w:t>
      </w:r>
      <w:r w:rsidR="00C24CCC" w:rsidRPr="004E1CC0">
        <w:t>aki é</w:t>
      </w:r>
      <w:r w:rsidRPr="004E1CC0">
        <w:t xml:space="preserve">lvezte Immanuel Kant </w:t>
      </w:r>
      <w:r w:rsidR="00D00DDA" w:rsidRPr="004E1CC0">
        <w:t>támogatását és megbecsülését is</w:t>
      </w:r>
      <w:r w:rsidR="000F3C61">
        <w:t>.</w:t>
      </w:r>
      <w:r w:rsidR="006D6893">
        <w:rPr>
          <w:rStyle w:val="Lbjegyzet-hivatkozs"/>
        </w:rPr>
        <w:footnoteReference w:id="18"/>
      </w:r>
      <w:r w:rsidR="00D00DDA" w:rsidRPr="004E1CC0">
        <w:t xml:space="preserve"> Különösen érvényes volt ez a Rozgonyitól említett</w:t>
      </w:r>
      <w:r w:rsidRPr="004E1CC0">
        <w:rPr>
          <w:i/>
          <w:iCs/>
          <w:lang w:val="de-DE"/>
        </w:rPr>
        <w:t xml:space="preserve"> Morgenstunden oder Vorlesungen über das Dasein Gottes</w:t>
      </w:r>
      <w:r w:rsidRPr="004E1CC0">
        <w:rPr>
          <w:lang w:val="de-DE"/>
        </w:rPr>
        <w:t xml:space="preserve"> (</w:t>
      </w:r>
      <w:r w:rsidRPr="004E1CC0">
        <w:t>Hajnali órák avagy előadások Iste</w:t>
      </w:r>
      <w:r w:rsidR="00D00DDA" w:rsidRPr="004E1CC0">
        <w:t xml:space="preserve">n létéről –1785) című </w:t>
      </w:r>
      <w:r w:rsidR="00B4681F" w:rsidRPr="004E1CC0">
        <w:t>mendelssohni munká</w:t>
      </w:r>
      <w:r w:rsidR="00D00DDA" w:rsidRPr="004E1CC0">
        <w:t xml:space="preserve">ra, amelyre vonatkozóan a magyar gondolkodót már egyik </w:t>
      </w:r>
      <w:r w:rsidR="00B4681F" w:rsidRPr="004E1CC0">
        <w:t>ő</w:t>
      </w:r>
      <w:r w:rsidR="00D00DDA" w:rsidRPr="004E1CC0">
        <w:t>rá legnagyobb hatással lévő tanára,</w:t>
      </w:r>
      <w:r w:rsidRPr="004E1CC0">
        <w:t xml:space="preserve"> Jakob </w:t>
      </w:r>
      <w:r w:rsidR="00D00DDA" w:rsidRPr="004E1CC0">
        <w:t>is hasznos tanácsokkal látta el, hiszen</w:t>
      </w:r>
      <w:r w:rsidRPr="004E1CC0">
        <w:t xml:space="preserve"> </w:t>
      </w:r>
      <w:r w:rsidR="00D00DDA" w:rsidRPr="004E1CC0">
        <w:t xml:space="preserve">ő ugyancsak </w:t>
      </w:r>
      <w:r w:rsidRPr="004E1CC0">
        <w:t xml:space="preserve">alapos vizsgálatot és elemzést </w:t>
      </w:r>
      <w:r w:rsidR="00D00DDA" w:rsidRPr="004E1CC0">
        <w:t xml:space="preserve">készített </w:t>
      </w:r>
      <w:r w:rsidR="00BF7FF4">
        <w:t>erről a műről</w:t>
      </w:r>
      <w:r w:rsidR="00D00DDA" w:rsidRPr="004E1CC0">
        <w:t xml:space="preserve"> </w:t>
      </w:r>
      <w:r w:rsidRPr="004E1CC0">
        <w:t xml:space="preserve">(1786), </w:t>
      </w:r>
      <w:r w:rsidR="002D1D8D">
        <w:t>miként ugyanarra</w:t>
      </w:r>
      <w:r w:rsidR="00D00DDA" w:rsidRPr="004E1CC0">
        <w:t xml:space="preserve"> az írás</w:t>
      </w:r>
      <w:r w:rsidRPr="004E1CC0">
        <w:t>ra Rozgonyi</w:t>
      </w:r>
      <w:r w:rsidR="00D00DDA" w:rsidRPr="004E1CC0">
        <w:t xml:space="preserve"> szintén megkülönbözetett módon utal</w:t>
      </w:r>
      <w:r w:rsidRPr="004E1CC0">
        <w:t xml:space="preserve">. </w:t>
      </w:r>
    </w:p>
    <w:p w:rsidR="006D102A" w:rsidRPr="004E1CC0" w:rsidRDefault="006D102A" w:rsidP="00C46EC9">
      <w:pPr>
        <w:pStyle w:val="NormlWeb"/>
        <w:spacing w:line="360" w:lineRule="auto"/>
        <w:ind w:firstLine="567"/>
        <w:jc w:val="both"/>
      </w:pPr>
      <w:r w:rsidRPr="004E1CC0">
        <w:t>Ami ez utóbbi mestert, Ludwig Heinrich von Jakobot illeti (1759 – 1827), ő igazi polihisztor volt: filozófus, közgazdász, az államtudományok szakértője s egyben író is. A hallei egyetemen végezte filológiai tanulmányait, s a Homéros- és a Phaedrus-kérdés kitűnő ismerőjének számított. Ugyanitt lett később a filozófia rendkívüli majd rendes professzora 1787-től. Fordította Hume műveit, s egyike volt Kant munkássága lelkes terjesztőinek, amely területen már-már a plágium vádját is megfogalmazták vele szemben, annyira csaknem szó szerint igyekezett közvetíteni a königsbergi filozófus gondolatait. Nemzetközi elismertségét mutatja, hogy 1810-től az Orosz Tudományos Akadémia levelezőtagja lett, s egy időben Oroszországban jogi szakértőként tevékenykedett a büntetőjog területén</w:t>
      </w:r>
      <w:r w:rsidR="006D6893">
        <w:rPr>
          <w:rStyle w:val="Lbjegyzet-hivatkozs"/>
        </w:rPr>
        <w:footnoteReference w:id="19"/>
      </w:r>
      <w:r w:rsidRPr="004E1CC0">
        <w:t>. Mint látjuk azonban, Rozgonyi tőle lényegesen eltérő nyomvonalon haladt, hiszen ő maga nemhogy nem másolta Kantot, hanem egyenesen súlyos kritikával illette.</w:t>
      </w:r>
    </w:p>
    <w:p w:rsidR="004E1CC0" w:rsidRDefault="00FC759E" w:rsidP="00C46EC9">
      <w:pPr>
        <w:pStyle w:val="NormlWeb"/>
        <w:spacing w:line="360" w:lineRule="auto"/>
        <w:ind w:firstLine="567"/>
        <w:jc w:val="both"/>
      </w:pPr>
      <w:r w:rsidRPr="004E1CC0">
        <w:t>Részben h</w:t>
      </w:r>
      <w:r w:rsidR="006D102A" w:rsidRPr="004E1CC0">
        <w:t xml:space="preserve">asonlót tudunk megállapítani másik meghatározó jelentőségű tanára, Karl Leonhard Reinhold (1757 – 1823) kapcsán is, aki ugyancsak univerzális személyiség volt: </w:t>
      </w:r>
      <w:r w:rsidR="00C2017A" w:rsidRPr="004E1CC0">
        <w:t xml:space="preserve">filozófus és író s </w:t>
      </w:r>
      <w:r w:rsidR="006D102A" w:rsidRPr="004E1CC0">
        <w:t xml:space="preserve">a német felvilágosodás Ausztriából származó kiemelkedő alakja, </w:t>
      </w:r>
      <w:r w:rsidR="00C2017A" w:rsidRPr="004E1CC0">
        <w:t xml:space="preserve">akivel Rozgonyi már csak ezért is rokonszenvezhetett mint </w:t>
      </w:r>
      <w:r w:rsidR="002D1D8D">
        <w:t>maga is – legalább egy időre –</w:t>
      </w:r>
      <w:r w:rsidR="00C40C24">
        <w:t xml:space="preserve"> </w:t>
      </w:r>
      <w:r w:rsidR="00C2017A" w:rsidRPr="004E1CC0">
        <w:t xml:space="preserve">II. József híve, aki </w:t>
      </w:r>
      <w:r w:rsidR="00C40C24">
        <w:t xml:space="preserve">tanulni vágyva, </w:t>
      </w:r>
      <w:r w:rsidR="00FE7635">
        <w:t>valameddig</w:t>
      </w:r>
      <w:r w:rsidR="00C2017A" w:rsidRPr="004E1CC0">
        <w:t xml:space="preserve"> Bécsben is tartózkodott</w:t>
      </w:r>
      <w:r w:rsidR="006D102A" w:rsidRPr="004E1CC0">
        <w:t xml:space="preserve">. Kezdetben </w:t>
      </w:r>
      <w:r w:rsidR="00C2017A" w:rsidRPr="004E1CC0">
        <w:t xml:space="preserve">Reinhold </w:t>
      </w:r>
      <w:r w:rsidR="006D102A" w:rsidRPr="004E1CC0">
        <w:t>katolikus szerzetes volt, de azután a szabadkőművesekhez csatlakozott</w:t>
      </w:r>
      <w:r w:rsidR="006D6893">
        <w:rPr>
          <w:rStyle w:val="Lbjegyzet-hivatkozs"/>
        </w:rPr>
        <w:footnoteReference w:id="20"/>
      </w:r>
      <w:r w:rsidR="006D102A" w:rsidRPr="004E1CC0">
        <w:t xml:space="preserve">. 1783-ban Lipcsébe majd Weimarba szökött s itt Herder nyomán közel került a protestáns tanokhoz. 1784-ben megismerkedett Chr. M. Wielanddal, s az ő irodalmi folyóirata számára készítette el </w:t>
      </w:r>
      <w:r w:rsidR="006D102A" w:rsidRPr="006D6893">
        <w:rPr>
          <w:i/>
        </w:rPr>
        <w:t xml:space="preserve">Levelek a </w:t>
      </w:r>
      <w:r w:rsidR="006D102A" w:rsidRPr="006D6893">
        <w:rPr>
          <w:i/>
        </w:rPr>
        <w:lastRenderedPageBreak/>
        <w:t>kanti filozófiáról</w:t>
      </w:r>
      <w:r w:rsidR="006D102A" w:rsidRPr="004E1CC0">
        <w:t xml:space="preserve"> című munkáját, amely azután 1790-ben könyv formájában is megjelent, s jelentős mértékben elősegítette a kanti eszmék befogadását és népszerűsítését. 1787-től a Jenai Egyetem rendkívüli filozófia-professzora lett, majd 1791-től létszámfeletti rendes professzorként tevékenykedett. Romhányi Józsefen kívül nagy hatással volt pl. Novalisra is. Az 1790-es években egyre inkább eklektikus irányba mozdult el, egyszerre igazodva J.</w:t>
      </w:r>
      <w:r w:rsidR="006E0EAD">
        <w:t xml:space="preserve"> </w:t>
      </w:r>
      <w:r w:rsidR="006D102A" w:rsidRPr="004E1CC0">
        <w:t xml:space="preserve">G. Fichte és Fr. H. Jacobi nézeteihez, valamint a stuttgarti protestáns teológusokhoz és filozófusokhoz, többek közt Herbarthoz. Egyike lett azoknak, akik a filozófiának nyelvészeti irányultságot adtak. Reinhold német nyelvterületen a Kant-féle kritikai transzcendentális filozófia befogadásához úttörő módon járult hozzá, megkísérelve azt kritikai bölcseletből egyfajta </w:t>
      </w:r>
      <w:r w:rsidR="006D102A" w:rsidRPr="004F6C03">
        <w:t>„elemi filozófiává”</w:t>
      </w:r>
      <w:r w:rsidR="006D102A" w:rsidRPr="004E1CC0">
        <w:t xml:space="preserve"> átformálni, amelyben az ész és az érzékelhetőség a képzelő képességből van levezetve. Erről szól pl. 1789-ben megjelent munkája</w:t>
      </w:r>
      <w:r w:rsidR="006D6893">
        <w:t>, a</w:t>
      </w:r>
      <w:r w:rsidR="006D102A" w:rsidRPr="004E1CC0">
        <w:t xml:space="preserve"> </w:t>
      </w:r>
      <w:r w:rsidR="006D102A" w:rsidRPr="006D6893">
        <w:rPr>
          <w:i/>
        </w:rPr>
        <w:t>Kísérlet az emberi képzelőerő egy új elméletéhez</w:t>
      </w:r>
      <w:r w:rsidR="006D102A" w:rsidRPr="004E1CC0">
        <w:t xml:space="preserve">, amelyhez kapcsolódtak még további írások, így </w:t>
      </w:r>
      <w:r w:rsidR="006D6893">
        <w:t xml:space="preserve">a </w:t>
      </w:r>
      <w:r w:rsidR="006D102A" w:rsidRPr="006D6893">
        <w:rPr>
          <w:i/>
        </w:rPr>
        <w:t>Kiegészítések a filozófusok eddigi félreértéseinek kijavításához</w:t>
      </w:r>
      <w:r w:rsidR="006D102A" w:rsidRPr="004E1CC0">
        <w:t xml:space="preserve"> (1790), ill</w:t>
      </w:r>
      <w:r w:rsidR="006D6893">
        <w:t>etve</w:t>
      </w:r>
      <w:r w:rsidR="006D102A" w:rsidRPr="004E1CC0">
        <w:t xml:space="preserve"> </w:t>
      </w:r>
      <w:r w:rsidR="006D102A" w:rsidRPr="006D6893">
        <w:rPr>
          <w:i/>
        </w:rPr>
        <w:t>A filozófiai tudás alapjáról</w:t>
      </w:r>
      <w:r w:rsidR="006D102A" w:rsidRPr="004E1CC0">
        <w:t xml:space="preserve"> (1791). Munkásságával jelentősen hozzájárult az ún. „német idealizmus” filozófiájának kibontakozásához. </w:t>
      </w:r>
      <w:r w:rsidR="00C2017A" w:rsidRPr="004E1CC0">
        <w:t xml:space="preserve">Mindezek figyelembe vételével </w:t>
      </w:r>
      <w:r w:rsidR="006D102A" w:rsidRPr="004E1CC0">
        <w:t>Rozgonyinak</w:t>
      </w:r>
      <w:r w:rsidR="00C2017A" w:rsidRPr="004E1CC0">
        <w:t xml:space="preserve"> a véleménye csak</w:t>
      </w:r>
      <w:r w:rsidR="006D102A" w:rsidRPr="004E1CC0">
        <w:t xml:space="preserve"> részben </w:t>
      </w:r>
      <w:r w:rsidR="00C2017A" w:rsidRPr="004E1CC0">
        <w:t xml:space="preserve">egyezett meg </w:t>
      </w:r>
      <w:r w:rsidR="006D102A" w:rsidRPr="004E1CC0">
        <w:t>Reinhold</w:t>
      </w:r>
      <w:r w:rsidR="00C2017A" w:rsidRPr="004E1CC0">
        <w:t>éval, hiszen maga tartózkodó álláspontot képviselt a königsbergi tudós számos elképzelésével szemben, úgy vélve,</w:t>
      </w:r>
      <w:r w:rsidR="006D102A" w:rsidRPr="004E1CC0">
        <w:t xml:space="preserve"> hogy </w:t>
      </w:r>
      <w:r w:rsidR="006D102A" w:rsidRPr="004F6C03">
        <w:t>a D</w:t>
      </w:r>
      <w:r w:rsidR="004F6C03" w:rsidRPr="004F6C03">
        <w:t>avid</w:t>
      </w:r>
      <w:r w:rsidR="006D102A" w:rsidRPr="004F6C03">
        <w:t xml:space="preserve"> Hume által lángra lobbantott szellemi tüzet</w:t>
      </w:r>
      <w:r w:rsidR="00C2017A" w:rsidRPr="004F6C03">
        <w:t xml:space="preserve"> Kantnak nem sikerült eloltania,</w:t>
      </w:r>
      <w:r w:rsidR="00C2017A" w:rsidRPr="004E1CC0">
        <w:t xml:space="preserve"> s a</w:t>
      </w:r>
      <w:r w:rsidR="006D102A" w:rsidRPr="004E1CC0">
        <w:t xml:space="preserve"> Kant nevével jelzett egész kritikai filozófiáról az volt a véleménye, hogy az nem is eredeti, hanem lényegében a skót bölcselő gondolataiból táplálkozik</w:t>
      </w:r>
      <w:r w:rsidR="00C2017A" w:rsidRPr="004E1CC0">
        <w:t>, miközben gyakran</w:t>
      </w:r>
      <w:r w:rsidR="00CF3C22" w:rsidRPr="004E1CC0">
        <w:t xml:space="preserve"> súlyos tévedéseket követ el</w:t>
      </w:r>
      <w:r w:rsidR="006D102A" w:rsidRPr="004E1CC0">
        <w:t>.</w:t>
      </w:r>
    </w:p>
    <w:p w:rsidR="004E1CC0" w:rsidRPr="004E1CC0" w:rsidRDefault="00CF3C22" w:rsidP="00C46EC9">
      <w:pPr>
        <w:pStyle w:val="NormlWeb"/>
        <w:spacing w:line="360" w:lineRule="auto"/>
        <w:ind w:firstLine="567"/>
        <w:jc w:val="both"/>
      </w:pPr>
      <w:r w:rsidRPr="004E1CC0">
        <w:t xml:space="preserve">Mindez jól mutatja Rozgonyi József önállóságát és külön útját nem csupán magához Kanthoz, hanem az ő nagyszámú követőjéhez képest is, s így nyilvánvalóan föl kell vetni a kérdést, hová </w:t>
      </w:r>
      <w:r w:rsidR="009A0AB8">
        <w:t xml:space="preserve">vezetnek </w:t>
      </w:r>
      <w:r w:rsidRPr="004E1CC0">
        <w:t xml:space="preserve">akkor vissza elsősorban az ő szellemi </w:t>
      </w:r>
      <w:r w:rsidR="009A0AB8">
        <w:t>kapcsolatai, kapcsolódásai</w:t>
      </w:r>
      <w:r w:rsidRPr="004E1CC0">
        <w:t>. Nyilvánvalóan messzemenően D. Hume-hoz, akivel szemben azonban</w:t>
      </w:r>
      <w:r w:rsidR="00C528F5">
        <w:t xml:space="preserve">, mint már láttuk, </w:t>
      </w:r>
      <w:r w:rsidRPr="004E1CC0">
        <w:t xml:space="preserve"> szintén nem tagad meg nagyon kemény kritikai észrevételeket sem. Ezért azt kell mondanunk: az ő ismeretelmélete és etikája általában a skót sz</w:t>
      </w:r>
      <w:r w:rsidR="004E1CC0">
        <w:t>keptikus iskola tanításaira megy</w:t>
      </w:r>
      <w:r w:rsidRPr="004E1CC0">
        <w:t xml:space="preserve"> vissza, akik közül olyan s</w:t>
      </w:r>
      <w:r w:rsidR="00C528F5">
        <w:t>okszínű</w:t>
      </w:r>
      <w:r w:rsidRPr="004E1CC0">
        <w:t xml:space="preserve"> irányzatot kép</w:t>
      </w:r>
      <w:r w:rsidR="004E1CC0" w:rsidRPr="004E1CC0">
        <w:t>viselő gondolkodókra</w:t>
      </w:r>
      <w:r w:rsidR="004E1CC0">
        <w:t xml:space="preserve"> utal, mint amilyen az általa felemlített</w:t>
      </w:r>
      <w:r w:rsidR="004E1CC0" w:rsidRPr="004E1CC0">
        <w:t xml:space="preserve"> </w:t>
      </w:r>
      <w:r w:rsidR="004E1CC0">
        <w:t>„</w:t>
      </w:r>
      <w:r w:rsidR="004E1CC0" w:rsidRPr="004E1CC0">
        <w:t>a skóciai filozófusok</w:t>
      </w:r>
      <w:r w:rsidR="004E1CC0">
        <w:t xml:space="preserve">” </w:t>
      </w:r>
      <w:r w:rsidR="007E6347">
        <w:t>(</w:t>
      </w:r>
      <w:r w:rsidR="007E6347">
        <w:rPr>
          <w:i/>
        </w:rPr>
        <w:t xml:space="preserve">Scotiae Philosophi – Dubia, </w:t>
      </w:r>
      <w:r w:rsidR="007E6347">
        <w:t xml:space="preserve">p. 16) </w:t>
      </w:r>
      <w:r w:rsidR="004E1CC0">
        <w:t>kategórája</w:t>
      </w:r>
      <w:r w:rsidR="007E6347">
        <w:t xml:space="preserve">. Ez nyilvánvalóan a ma </w:t>
      </w:r>
      <w:r w:rsidR="007E6347" w:rsidRPr="004F6C03">
        <w:t>„skót filozófiai iskolának</w:t>
      </w:r>
      <w:r w:rsidR="004E1CC0" w:rsidRPr="004F6C03">
        <w:t>”</w:t>
      </w:r>
      <w:r w:rsidR="004E1CC0" w:rsidRPr="004E1CC0">
        <w:t xml:space="preserve"> </w:t>
      </w:r>
      <w:r w:rsidR="007E6347">
        <w:t xml:space="preserve">mondott körre </w:t>
      </w:r>
      <w:r w:rsidR="00C528F5">
        <w:t>céloz</w:t>
      </w:r>
      <w:r w:rsidR="007E6347">
        <w:t>, amelynek</w:t>
      </w:r>
      <w:r w:rsidR="004E1CC0" w:rsidRPr="004E1CC0">
        <w:t xml:space="preserve"> gyökerei olyan filozófusokhoz nyúltak vissz</w:t>
      </w:r>
      <w:r w:rsidR="007E6347">
        <w:t>a, mint J. Locke, G. Berkeley a már tárgyalt</w:t>
      </w:r>
      <w:r w:rsidR="004E1CC0" w:rsidRPr="004E1CC0">
        <w:t xml:space="preserve"> D. Hume</w:t>
      </w:r>
      <w:r w:rsidR="007E6347">
        <w:t>-on kívül</w:t>
      </w:r>
      <w:r w:rsidR="004E1CC0" w:rsidRPr="004E1CC0">
        <w:t xml:space="preserve">. Legkiemelkedőbb tagjaiként </w:t>
      </w:r>
      <w:r w:rsidR="009A0AB8">
        <w:t xml:space="preserve">pedig </w:t>
      </w:r>
      <w:r w:rsidR="004E1CC0" w:rsidRPr="004E1CC0">
        <w:t xml:space="preserve">D. Stewart-ot, Th. Reidet és W. Hamiltont szokták számon </w:t>
      </w:r>
      <w:r w:rsidR="004E1CC0" w:rsidRPr="004E1CC0">
        <w:lastRenderedPageBreak/>
        <w:t xml:space="preserve">tartani, akik közül </w:t>
      </w:r>
      <w:r w:rsidR="00982EB1">
        <w:t xml:space="preserve">maga </w:t>
      </w:r>
      <w:r w:rsidR="004E1CC0" w:rsidRPr="004E1CC0">
        <w:t xml:space="preserve">Rozgonyi Th. </w:t>
      </w:r>
      <w:r w:rsidR="007E6347">
        <w:t>Reid-et emeli ki</w:t>
      </w:r>
      <w:r w:rsidR="00982EB1">
        <w:t xml:space="preserve"> </w:t>
      </w:r>
      <w:r w:rsidR="00982EB1" w:rsidRPr="004E1CC0">
        <w:rPr>
          <w:color w:val="000000"/>
        </w:rPr>
        <w:t>(1710 –1796)</w:t>
      </w:r>
      <w:r w:rsidR="006D6893">
        <w:rPr>
          <w:rStyle w:val="Lbjegyzet-hivatkozs"/>
          <w:color w:val="000000"/>
        </w:rPr>
        <w:footnoteReference w:id="21"/>
      </w:r>
      <w:r w:rsidR="00982EB1" w:rsidRPr="004E1CC0">
        <w:rPr>
          <w:color w:val="000000"/>
        </w:rPr>
        <w:t xml:space="preserve">, </w:t>
      </w:r>
      <w:r w:rsidR="000F4314">
        <w:rPr>
          <w:color w:val="000000"/>
        </w:rPr>
        <w:t xml:space="preserve">mint </w:t>
      </w:r>
      <w:r w:rsidR="00982EB1" w:rsidRPr="004E1CC0">
        <w:rPr>
          <w:color w:val="000000"/>
        </w:rPr>
        <w:t>aki a</w:t>
      </w:r>
      <w:r w:rsidR="00982EB1" w:rsidRPr="004E1CC0">
        <w:rPr>
          <w:rFonts w:eastAsia="Georgia-Italic"/>
          <w:i/>
          <w:iCs/>
          <w:color w:val="191919"/>
        </w:rPr>
        <w:t xml:space="preserve"> common sense</w:t>
      </w:r>
      <w:r w:rsidR="00982EB1" w:rsidRPr="004E1CC0">
        <w:rPr>
          <w:color w:val="191919"/>
        </w:rPr>
        <w:t>-értelmezés egyik fő híveként és Hume egyik legelmélyültebb brit kritikusaként</w:t>
      </w:r>
      <w:r w:rsidR="00982EB1" w:rsidRPr="004E1CC0">
        <w:t xml:space="preserve"> hat axiómát sorolt fel a </w:t>
      </w:r>
      <w:r w:rsidR="00982EB1" w:rsidRPr="004F6C03">
        <w:t>“</w:t>
      </w:r>
      <w:r w:rsidR="00FE7635" w:rsidRPr="004F6C03">
        <w:t>józan</w:t>
      </w:r>
      <w:r w:rsidR="006D6893" w:rsidRPr="004F6C03">
        <w:t xml:space="preserve"> </w:t>
      </w:r>
      <w:r w:rsidR="00FE7635" w:rsidRPr="004F6C03">
        <w:t>ész</w:t>
      </w:r>
      <w:r w:rsidR="00982EB1" w:rsidRPr="004F6C03">
        <w:t>”</w:t>
      </w:r>
      <w:r w:rsidR="00982EB1" w:rsidRPr="004E1CC0">
        <w:t xml:space="preserve"> alapján történő érvelés mellett.</w:t>
      </w:r>
      <w:r w:rsidR="009A0AB8">
        <w:t xml:space="preserve"> D</w:t>
      </w:r>
      <w:r w:rsidR="00982EB1">
        <w:t xml:space="preserve">e rajta kívül Rozgonyi még számol </w:t>
      </w:r>
      <w:r w:rsidR="00982EB1" w:rsidRPr="004E1CC0">
        <w:t xml:space="preserve">James </w:t>
      </w:r>
      <w:r w:rsidR="00982EB1">
        <w:t>Oswalddal is</w:t>
      </w:r>
      <w:r w:rsidR="00982EB1" w:rsidRPr="004E1CC0">
        <w:t xml:space="preserve"> (1703–1793), </w:t>
      </w:r>
      <w:r w:rsidR="00982EB1">
        <w:t xml:space="preserve">aki szintén </w:t>
      </w:r>
      <w:r w:rsidR="00982EB1" w:rsidRPr="004E1CC0">
        <w:t xml:space="preserve">egyike a skót </w:t>
      </w:r>
      <w:r w:rsidR="00982EB1" w:rsidRPr="004F6C03">
        <w:t>„józan ész”</w:t>
      </w:r>
      <w:r w:rsidR="00982EB1" w:rsidRPr="004E1CC0">
        <w:t xml:space="preserve"> filozófiai iskola tagjainak</w:t>
      </w:r>
      <w:r w:rsidR="00381D40">
        <w:rPr>
          <w:rStyle w:val="Lbjegyzet-hivatkozs"/>
        </w:rPr>
        <w:footnoteReference w:id="22"/>
      </w:r>
      <w:r w:rsidR="00982EB1" w:rsidRPr="004E1CC0">
        <w:t>.</w:t>
      </w:r>
      <w:r w:rsidR="00982EB1">
        <w:t xml:space="preserve"> Szól továbbá még Rozgonyi </w:t>
      </w:r>
      <w:r w:rsidR="00982EB1" w:rsidRPr="004E1CC0">
        <w:t xml:space="preserve">James </w:t>
      </w:r>
      <w:r w:rsidR="00982EB1">
        <w:t>Beattie</w:t>
      </w:r>
      <w:r w:rsidR="009A0AB8">
        <w:t>-</w:t>
      </w:r>
      <w:r w:rsidR="00982EB1">
        <w:t>r</w:t>
      </w:r>
      <w:r w:rsidR="009A0AB8">
        <w:t>ől i</w:t>
      </w:r>
      <w:r w:rsidR="00982EB1">
        <w:t>s</w:t>
      </w:r>
      <w:r w:rsidR="00982EB1" w:rsidRPr="004E1CC0">
        <w:t xml:space="preserve"> (1735–1803), </w:t>
      </w:r>
      <w:r w:rsidR="00982EB1">
        <w:t xml:space="preserve">aki ugyancsak </w:t>
      </w:r>
      <w:r w:rsidR="00982EB1" w:rsidRPr="004E1CC0">
        <w:t>skót filozófus és író</w:t>
      </w:r>
      <w:r w:rsidR="00982EB1">
        <w:t xml:space="preserve"> volt</w:t>
      </w:r>
      <w:r w:rsidR="00982EB1" w:rsidRPr="004E1CC0">
        <w:t>. Egyszerű gazda fiából lett iskolamester, majd filozófiaprofesszor az egyik aberdeeni college-ban. Egyszerre gyakorolta a költészetet és a bölcseletet, s így publikált verseken kívül filozófiai munkákat, pl. az igazság természetéről és megváltoztathatatlanságáról (1770</w:t>
      </w:r>
      <w:r w:rsidR="00982EB1">
        <w:t>)</w:t>
      </w:r>
      <w:r w:rsidR="00381D40">
        <w:rPr>
          <w:rStyle w:val="Lbjegyzet-hivatkozs"/>
        </w:rPr>
        <w:footnoteReference w:id="23"/>
      </w:r>
      <w:r w:rsidR="007E6347">
        <w:t>. Ez a későbbi</w:t>
      </w:r>
      <w:r w:rsidR="004E1CC0" w:rsidRPr="004E1CC0">
        <w:t xml:space="preserve"> iskola a maga megközelítését </w:t>
      </w:r>
      <w:r w:rsidR="007E6347">
        <w:t xml:space="preserve">ugyan </w:t>
      </w:r>
      <w:r w:rsidR="004E1CC0" w:rsidRPr="004E1CC0">
        <w:t xml:space="preserve">főként Kant filozófiájával igyekezett összetársítani, s a </w:t>
      </w:r>
      <w:r w:rsidR="00FE7635" w:rsidRPr="004E1CC0">
        <w:t>józan</w:t>
      </w:r>
      <w:r w:rsidR="004F6C03">
        <w:t xml:space="preserve"> </w:t>
      </w:r>
      <w:r w:rsidR="00FE7635" w:rsidRPr="004E1CC0">
        <w:t>észre</w:t>
      </w:r>
      <w:r w:rsidR="004E1CC0" w:rsidRPr="004E1CC0">
        <w:t xml:space="preserve"> hivatkozva lépett fel a filozófiai szkep</w:t>
      </w:r>
      <w:r w:rsidR="007E6347">
        <w:t>ticizmussal szemben, de úgy, hogy közben Kantot is erőteljesen átértelmezte. Lényegében ugyanis azzal kísérleteztek, hogy</w:t>
      </w:r>
      <w:r w:rsidR="004E1CC0" w:rsidRPr="004E1CC0">
        <w:t xml:space="preserve"> a szellemi változás bármely formája ellen a </w:t>
      </w:r>
      <w:r w:rsidR="00FE7635" w:rsidRPr="004E1CC0">
        <w:t>józan</w:t>
      </w:r>
      <w:r w:rsidR="004F6C03">
        <w:t xml:space="preserve"> </w:t>
      </w:r>
      <w:r w:rsidR="00FE7635" w:rsidRPr="004E1CC0">
        <w:t>észre</w:t>
      </w:r>
      <w:r w:rsidR="007E6347">
        <w:t xml:space="preserve"> való hivatkozással lépjenek fel</w:t>
      </w:r>
      <w:r w:rsidR="004E1CC0" w:rsidRPr="004E1CC0">
        <w:t xml:space="preserve">. Az irányzat </w:t>
      </w:r>
      <w:r w:rsidR="00982EB1">
        <w:t xml:space="preserve">később </w:t>
      </w:r>
      <w:r w:rsidR="004E1CC0" w:rsidRPr="004E1CC0">
        <w:t xml:space="preserve">széles körben elterjedt Európa szerte és az Egyesült Államokban is, </w:t>
      </w:r>
      <w:r w:rsidR="009A0AB8">
        <w:t>ám ez már túllép vizsgálatunk időbeli határán, s így itt természetesen eltekintünk boncolgatásától.</w:t>
      </w:r>
    </w:p>
    <w:p w:rsidR="00AD0406" w:rsidRPr="000B6072" w:rsidRDefault="009A0AB8" w:rsidP="00C46EC9">
      <w:pPr>
        <w:pStyle w:val="NormlWeb"/>
        <w:spacing w:line="360" w:lineRule="auto"/>
        <w:ind w:firstLine="567"/>
        <w:jc w:val="both"/>
        <w:rPr>
          <w:i/>
        </w:rPr>
      </w:pPr>
      <w:r w:rsidRPr="000F3C61">
        <w:t>A lényeg, amit az eddig felvonultatott tények alapján megállapíthatunk, ekképp foglalható össze: Kant magyarországi recepciója rendkívül gyors volt, s közelről sem</w:t>
      </w:r>
      <w:r w:rsidR="00643FFA">
        <w:t xml:space="preserve"> </w:t>
      </w:r>
      <w:r>
        <w:t>mutatkozott szolgai átvételnek, hanem egy olyan szintetizálható recepcióról beszélhetünk, amely az erőteljes Kant-kritika mellett</w:t>
      </w:r>
      <w:r w:rsidR="00BA5875">
        <w:t xml:space="preserve"> </w:t>
      </w:r>
      <w:r w:rsidR="00FE7635">
        <w:t>nagymértékben</w:t>
      </w:r>
      <w:r w:rsidR="00BA5875">
        <w:t xml:space="preserve"> épített a különféle olyan iskolák módszereire és tanításaira, amelyek vagy előkészítették a felvilágosodást, vagy annak részei voltak, vagy pedig éppen azt próbálták meg továbbvinni, akár bizonyos ellenreakciók segítségével is. Ehhez a komplex szellemi tájékozódáshoz és építkezéshez azonban még egy további, nagyon is lényeges alkotóelemet mindenképpen hozzá kell vennünk, annál is inkább, mert ez különösen el szokta kerülni a filozófiatörténészek figyelmét, legalábbis itt nálunk. </w:t>
      </w:r>
      <w:r w:rsidR="00BA5875">
        <w:lastRenderedPageBreak/>
        <w:t xml:space="preserve">Arról van szó, hogy Rozgonyi a hazai tradíciókkal is összhangban nagy figyelmet szentel a skót iskola </w:t>
      </w:r>
      <w:r w:rsidR="00BA5875" w:rsidRPr="00381D40">
        <w:rPr>
          <w:i/>
        </w:rPr>
        <w:t>common sense</w:t>
      </w:r>
      <w:r w:rsidR="005D01D5" w:rsidRPr="00643FFA">
        <w:rPr>
          <w:color w:val="FF0000"/>
        </w:rPr>
        <w:t xml:space="preserve"> </w:t>
      </w:r>
      <w:r w:rsidR="00FE7635">
        <w:t xml:space="preserve">értelmezése ill. a kanti </w:t>
      </w:r>
      <w:r w:rsidR="00FE7635" w:rsidRPr="004F6C03">
        <w:t>„józan</w:t>
      </w:r>
      <w:r w:rsidR="004F6C03" w:rsidRPr="004F6C03">
        <w:t xml:space="preserve"> </w:t>
      </w:r>
      <w:r w:rsidR="005D01D5" w:rsidRPr="004F6C03">
        <w:t>ész”</w:t>
      </w:r>
      <w:r w:rsidR="005D01D5">
        <w:t xml:space="preserve"> fogalma előzményeinek, s így jut el Aristotelésig és Ciceróig. Végül is az ő nézetük mutatkozik számára a leginkább olyannak, amelyet mindenek előtt irányadónak kell tekinteni</w:t>
      </w:r>
      <w:r w:rsidR="00FE7635">
        <w:t>. M</w:t>
      </w:r>
      <w:r w:rsidR="00AD0406">
        <w:t>ert a görög bölcselő által meghatározott</w:t>
      </w:r>
      <w:r w:rsidR="00AD0406" w:rsidRPr="00AD0406">
        <w:rPr>
          <w:i/>
        </w:rPr>
        <w:t xml:space="preserve"> </w:t>
      </w:r>
      <w:r w:rsidR="00AD0406" w:rsidRPr="001B1C18">
        <w:rPr>
          <w:i/>
          <w:iCs/>
        </w:rPr>
        <w:t>koin</w:t>
      </w:r>
      <w:r w:rsidR="00AD0406" w:rsidRPr="007960B6">
        <w:rPr>
          <w:i/>
          <w:iCs/>
        </w:rPr>
        <w:t>ai doxai</w:t>
      </w:r>
      <w:r w:rsidR="007960B6" w:rsidRPr="007960B6">
        <w:rPr>
          <w:i/>
          <w:iCs/>
        </w:rPr>
        <w:t xml:space="preserve"> </w:t>
      </w:r>
      <w:r w:rsidR="007960B6" w:rsidRPr="007960B6">
        <w:rPr>
          <w:color w:val="000000"/>
          <w:lang w:val="el-GR"/>
        </w:rPr>
        <w:t>(«</w:t>
      </w:r>
      <w:r w:rsidR="007960B6" w:rsidRPr="007960B6">
        <w:rPr>
          <w:rStyle w:val="Kiemels"/>
          <w:b w:val="0"/>
          <w:i/>
          <w:color w:val="000000"/>
          <w:lang w:val="el-GR"/>
        </w:rPr>
        <w:t>κοιναί δόξαι</w:t>
      </w:r>
      <w:r w:rsidR="007960B6" w:rsidRPr="007960B6">
        <w:rPr>
          <w:color w:val="000000"/>
          <w:lang w:val="el-GR"/>
        </w:rPr>
        <w:t>»)</w:t>
      </w:r>
      <w:r w:rsidR="00AD0406" w:rsidRPr="007960B6">
        <w:rPr>
          <w:i/>
        </w:rPr>
        <w:t xml:space="preserve">, </w:t>
      </w:r>
      <w:r w:rsidR="00AD0406" w:rsidRPr="007960B6">
        <w:t>az</w:t>
      </w:r>
      <w:r w:rsidR="00AD0406">
        <w:t>az „</w:t>
      </w:r>
      <w:r w:rsidR="00AD0406" w:rsidRPr="004F6C03">
        <w:t>közös vélemények/nézetek”</w:t>
      </w:r>
      <w:r w:rsidR="00AD0406">
        <w:t xml:space="preserve"> s ebből eredően: az </w:t>
      </w:r>
      <w:r w:rsidR="00AD0406" w:rsidRPr="004F6C03">
        <w:t>„általánosan elfogadott tételek”</w:t>
      </w:r>
      <w:r w:rsidR="00AD0406">
        <w:t xml:space="preserve">, valamint a cicerói </w:t>
      </w:r>
      <w:r w:rsidR="00AD0406">
        <w:rPr>
          <w:i/>
          <w:iCs/>
        </w:rPr>
        <w:t xml:space="preserve">naturae iudicia, </w:t>
      </w:r>
      <w:r w:rsidR="00AD0406">
        <w:rPr>
          <w:iCs/>
        </w:rPr>
        <w:t>tehát s</w:t>
      </w:r>
      <w:r w:rsidR="00AD0406">
        <w:t>zó</w:t>
      </w:r>
      <w:r w:rsidR="00FE7635">
        <w:t xml:space="preserve"> </w:t>
      </w:r>
      <w:r w:rsidR="00AD0406">
        <w:t xml:space="preserve">szerint: </w:t>
      </w:r>
      <w:r w:rsidR="00AD0406" w:rsidRPr="004F6C03">
        <w:t>a „természet ítéletei”</w:t>
      </w:r>
      <w:r w:rsidR="00AD0406">
        <w:t xml:space="preserve"> vagyis a </w:t>
      </w:r>
      <w:r w:rsidR="00AD0406" w:rsidRPr="004F6C03">
        <w:t>„természetre alapozott ítéletek”</w:t>
      </w:r>
      <w:r w:rsidR="00A31782">
        <w:t xml:space="preserve"> azok, amelyek révén</w:t>
      </w:r>
      <w:r w:rsidR="00AD0406">
        <w:t xml:space="preserve"> a helyes ismeretek kibonthatók és megalapozhatók. Ezzel az állásfoglalásával pedig Rozgonyi nem </w:t>
      </w:r>
      <w:r w:rsidR="00A31782">
        <w:t>annyira konzervatívnak bizonyul</w:t>
      </w:r>
      <w:r w:rsidR="00AD0406">
        <w:t xml:space="preserve">, ahogy első pillanatra talán gondolni lehetne, hanem valamiképpen éppen </w:t>
      </w:r>
      <w:r w:rsidR="006E0EAD">
        <w:t xml:space="preserve">már </w:t>
      </w:r>
      <w:r w:rsidR="00AD0406">
        <w:t xml:space="preserve">a 20. sz. felé </w:t>
      </w:r>
      <w:r w:rsidR="006E0EAD">
        <w:t xml:space="preserve">is </w:t>
      </w:r>
      <w:r w:rsidR="00AD0406">
        <w:t xml:space="preserve">mutat, mintegy megelőlegezve a heideggeri </w:t>
      </w:r>
      <w:r w:rsidR="00A31782">
        <w:t xml:space="preserve">vagy gadameri </w:t>
      </w:r>
      <w:r w:rsidR="00AD0406">
        <w:t>törekvéseket</w:t>
      </w:r>
      <w:r w:rsidR="00381D40">
        <w:rPr>
          <w:rStyle w:val="Lbjegyzet-hivatkozs"/>
        </w:rPr>
        <w:footnoteReference w:id="24"/>
      </w:r>
      <w:r w:rsidR="00A31782">
        <w:t>.</w:t>
      </w:r>
    </w:p>
    <w:p w:rsidR="00C528F5" w:rsidRPr="00A804A1" w:rsidRDefault="00C528F5" w:rsidP="004F6C03">
      <w:pPr>
        <w:spacing w:line="360" w:lineRule="auto"/>
        <w:jc w:val="both"/>
        <w:outlineLvl w:val="3"/>
      </w:pPr>
    </w:p>
    <w:sectPr w:rsidR="00C528F5" w:rsidRPr="00A804A1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15" w:rsidRDefault="00554F15">
      <w:r>
        <w:separator/>
      </w:r>
    </w:p>
  </w:endnote>
  <w:endnote w:type="continuationSeparator" w:id="1">
    <w:p w:rsidR="00554F15" w:rsidRDefault="0055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CB" w:rsidRDefault="007C03CB" w:rsidP="00B30B7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C03CB" w:rsidRDefault="007C03C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CB" w:rsidRDefault="007C03CB" w:rsidP="00B30B7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51625">
      <w:rPr>
        <w:rStyle w:val="Oldalszm"/>
        <w:noProof/>
      </w:rPr>
      <w:t>1</w:t>
    </w:r>
    <w:r>
      <w:rPr>
        <w:rStyle w:val="Oldalszm"/>
      </w:rPr>
      <w:fldChar w:fldCharType="end"/>
    </w:r>
  </w:p>
  <w:p w:rsidR="007C03CB" w:rsidRDefault="007C03C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15" w:rsidRDefault="00554F15">
      <w:r>
        <w:separator/>
      </w:r>
    </w:p>
  </w:footnote>
  <w:footnote w:type="continuationSeparator" w:id="1">
    <w:p w:rsidR="00554F15" w:rsidRDefault="00554F15">
      <w:r>
        <w:continuationSeparator/>
      </w:r>
    </w:p>
  </w:footnote>
  <w:footnote w:id="2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L. ehhez: </w:t>
      </w:r>
      <w:r w:rsidRPr="006D6893">
        <w:rPr>
          <w:color w:val="000000"/>
          <w:sz w:val="20"/>
          <w:szCs w:val="20"/>
        </w:rPr>
        <w:t xml:space="preserve">Kissné Novák Éva: </w:t>
      </w:r>
      <w:r w:rsidRPr="006D6893">
        <w:rPr>
          <w:bCs/>
          <w:i/>
          <w:color w:val="000000"/>
          <w:sz w:val="20"/>
          <w:szCs w:val="20"/>
        </w:rPr>
        <w:t>Az érték, az öntét és a szabadság Böhm Károly filozófiájában</w:t>
      </w:r>
      <w:r w:rsidRPr="006D6893">
        <w:rPr>
          <w:color w:val="000000"/>
          <w:sz w:val="20"/>
          <w:szCs w:val="20"/>
        </w:rPr>
        <w:t xml:space="preserve">, In </w:t>
      </w:r>
      <w:r w:rsidRPr="006D6893">
        <w:rPr>
          <w:sz w:val="20"/>
          <w:szCs w:val="20"/>
        </w:rPr>
        <w:t xml:space="preserve">Tonk Márton, Laczkó Sándor (szerk.): </w:t>
      </w:r>
      <w:r w:rsidRPr="006D6893">
        <w:rPr>
          <w:i/>
          <w:iCs/>
          <w:sz w:val="20"/>
          <w:szCs w:val="20"/>
        </w:rPr>
        <w:t xml:space="preserve">Böhm Károly és a “kolozsvári iskola”, </w:t>
      </w:r>
      <w:r w:rsidRPr="006D6893">
        <w:rPr>
          <w:color w:val="000000"/>
          <w:sz w:val="20"/>
          <w:szCs w:val="20"/>
        </w:rPr>
        <w:t>Pro Philosophia, Kolozsvár – Sze</w:t>
      </w:r>
      <w:r w:rsidRPr="006D6893">
        <w:rPr>
          <w:sz w:val="20"/>
          <w:szCs w:val="20"/>
        </w:rPr>
        <w:t xml:space="preserve">ged, 2000, 55-68, mely kötetben problémafelvetésünkkel kapcsolatban olvasható még Mester Béla: </w:t>
      </w:r>
      <w:r w:rsidRPr="006D6893">
        <w:rPr>
          <w:i/>
          <w:iCs/>
          <w:sz w:val="20"/>
          <w:szCs w:val="20"/>
        </w:rPr>
        <w:t>Lehetséges-e “magyar filozófia”? Hozzászólás-féle egy újra feltámadt XIX. századi vitához,</w:t>
      </w:r>
      <w:r w:rsidRPr="006D6893">
        <w:rPr>
          <w:sz w:val="20"/>
          <w:szCs w:val="20"/>
        </w:rPr>
        <w:t xml:space="preserve"> 115-132; </w:t>
      </w:r>
      <w:r w:rsidRPr="006D6893">
        <w:rPr>
          <w:color w:val="000000"/>
          <w:sz w:val="20"/>
          <w:szCs w:val="20"/>
        </w:rPr>
        <w:t xml:space="preserve">vö. még Kissné Novák Éva: </w:t>
      </w:r>
      <w:r w:rsidRPr="006D6893">
        <w:rPr>
          <w:bCs/>
          <w:i/>
          <w:sz w:val="20"/>
          <w:szCs w:val="20"/>
        </w:rPr>
        <w:t>Ecce homo. Böhm és Makkai antropológiája</w:t>
      </w:r>
      <w:r w:rsidRPr="006D6893">
        <w:rPr>
          <w:sz w:val="20"/>
          <w:szCs w:val="20"/>
        </w:rPr>
        <w:t xml:space="preserve">, </w:t>
      </w:r>
      <w:r w:rsidRPr="006D6893">
        <w:rPr>
          <w:i/>
          <w:sz w:val="20"/>
          <w:szCs w:val="20"/>
        </w:rPr>
        <w:t>Filozófia és teológia a magyar eszmetörténetben</w:t>
      </w:r>
      <w:r w:rsidRPr="006D6893">
        <w:rPr>
          <w:sz w:val="20"/>
          <w:szCs w:val="20"/>
        </w:rPr>
        <w:t xml:space="preserve">, Miskolc, 2003 ill. uő.: </w:t>
      </w:r>
      <w:r w:rsidRPr="006D6893">
        <w:rPr>
          <w:bCs/>
          <w:i/>
          <w:color w:val="000000"/>
          <w:sz w:val="20"/>
          <w:szCs w:val="20"/>
        </w:rPr>
        <w:t>Böhm Károly értékelméletének és ez értékelmélet történeti hatásának kritikai elemzése</w:t>
      </w:r>
      <w:r w:rsidRPr="006D6893">
        <w:rPr>
          <w:color w:val="000000"/>
          <w:sz w:val="20"/>
          <w:szCs w:val="20"/>
        </w:rPr>
        <w:t xml:space="preserve"> [</w:t>
      </w:r>
      <w:r w:rsidRPr="006D6893">
        <w:rPr>
          <w:bCs/>
          <w:color w:val="000000"/>
          <w:sz w:val="20"/>
          <w:szCs w:val="20"/>
        </w:rPr>
        <w:t>elektronikus dok.</w:t>
      </w:r>
      <w:r w:rsidRPr="006D6893">
        <w:rPr>
          <w:color w:val="000000"/>
          <w:sz w:val="20"/>
          <w:szCs w:val="20"/>
        </w:rPr>
        <w:t xml:space="preserve">], </w:t>
      </w:r>
      <w:r w:rsidRPr="006D6893">
        <w:rPr>
          <w:bCs/>
          <w:color w:val="000000"/>
          <w:sz w:val="20"/>
          <w:szCs w:val="20"/>
        </w:rPr>
        <w:t>a 2006. évi Böhm-Bartók Díj díjnyertes pályaműve</w:t>
      </w:r>
      <w:r w:rsidRPr="006D6893">
        <w:rPr>
          <w:color w:val="000000"/>
          <w:sz w:val="20"/>
          <w:szCs w:val="20"/>
        </w:rPr>
        <w:t xml:space="preserve"> … </w:t>
      </w:r>
      <w:r w:rsidRPr="006D6893">
        <w:rPr>
          <w:bCs/>
          <w:color w:val="000000"/>
          <w:sz w:val="20"/>
          <w:szCs w:val="20"/>
        </w:rPr>
        <w:t>[közread.] Mikes International, OSzK Digitális Kvt.</w:t>
      </w:r>
    </w:p>
  </w:footnote>
  <w:footnote w:id="3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Vö. pl. Mészáros András: </w:t>
      </w:r>
      <w:r w:rsidRPr="006D6893">
        <w:rPr>
          <w:i/>
          <w:sz w:val="20"/>
          <w:szCs w:val="20"/>
        </w:rPr>
        <w:t>A filozófia Magyarországon. A kezdetektől a 19. századig</w:t>
      </w:r>
      <w:r w:rsidRPr="006D6893">
        <w:rPr>
          <w:sz w:val="20"/>
          <w:szCs w:val="20"/>
        </w:rPr>
        <w:t xml:space="preserve">. Pozsony, </w:t>
      </w:r>
      <w:smartTag w:uri="urn:schemas-microsoft-com:office:smarttags" w:element="metricconverter">
        <w:smartTagPr>
          <w:attr w:name="ProductID" w:val="2000, l"/>
        </w:smartTagPr>
        <w:r w:rsidRPr="006D6893">
          <w:rPr>
            <w:sz w:val="20"/>
            <w:szCs w:val="20"/>
          </w:rPr>
          <w:t>2000, l</w:t>
        </w:r>
      </w:smartTag>
      <w:r w:rsidRPr="006D6893">
        <w:rPr>
          <w:sz w:val="20"/>
          <w:szCs w:val="20"/>
        </w:rPr>
        <w:t xml:space="preserve">. továbbá: Fehér M. István–Veres Ildikó (szerk.), </w:t>
      </w:r>
      <w:r w:rsidRPr="006D6893">
        <w:rPr>
          <w:i/>
          <w:sz w:val="20"/>
          <w:szCs w:val="20"/>
        </w:rPr>
        <w:t>Alternatív tradíciók a magyar filozófia történetében</w:t>
      </w:r>
      <w:r w:rsidRPr="006D6893">
        <w:rPr>
          <w:sz w:val="20"/>
          <w:szCs w:val="20"/>
        </w:rPr>
        <w:t xml:space="preserve">. Miskolc, 1999. E két utóbbinak kiemelkedő érdeme a </w:t>
      </w:r>
      <w:r w:rsidRPr="006D6893">
        <w:rPr>
          <w:rStyle w:val="Kiemels"/>
          <w:b w:val="0"/>
          <w:color w:val="000000"/>
          <w:sz w:val="20"/>
          <w:szCs w:val="20"/>
        </w:rPr>
        <w:t>Magyar</w:t>
      </w:r>
      <w:r w:rsidRPr="006D6893">
        <w:rPr>
          <w:color w:val="000000"/>
          <w:sz w:val="20"/>
          <w:szCs w:val="20"/>
        </w:rPr>
        <w:t xml:space="preserve"> Filozófiatörténeti Könyvtár megindítása is, mely sorozat jól dokumentálja, hogy a talán legtöbbet hivatkozott Apáczai Csere Jánoson kívül, azért voltak a magyarországi filozófiának egyéb hagyományai és értékei is.</w:t>
      </w:r>
    </w:p>
  </w:footnote>
  <w:footnote w:id="4">
    <w:p w:rsidR="007C03CB" w:rsidRDefault="007C03CB" w:rsidP="006D6893">
      <w:pPr>
        <w:jc w:val="both"/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L. ehhez szövegkiadásomat: Szent István: </w:t>
      </w:r>
      <w:r w:rsidRPr="006D6893">
        <w:rPr>
          <w:i/>
          <w:sz w:val="20"/>
          <w:szCs w:val="20"/>
        </w:rPr>
        <w:t>Intelmek</w:t>
      </w:r>
      <w:r w:rsidRPr="006D6893">
        <w:rPr>
          <w:sz w:val="20"/>
          <w:szCs w:val="20"/>
        </w:rPr>
        <w:t>, Debrecen, 2004, ahol a kérdéskör idevágó szakirodalma is megtalálható, s további kiegészítések vannak még e munka újabb kétnyelvű francia kiadásában: Sancti Stephani regis primi Hungariae, Libellus de institutione morum sive admonitio spiritualis = Saint Étienne de Hongrie, Petit traité d'éducation morale ou exhortation spirituelle, texte établi... par L. Havas, traduit par J.-P. Levet, Debrecini, MMVIII</w:t>
      </w:r>
      <w:r w:rsidRPr="006D6893">
        <w:rPr>
          <w:sz w:val="20"/>
          <w:szCs w:val="20"/>
          <w:vertAlign w:val="superscript"/>
        </w:rPr>
        <w:t>3</w:t>
      </w:r>
      <w:r w:rsidRPr="006D6893">
        <w:rPr>
          <w:sz w:val="20"/>
          <w:szCs w:val="20"/>
        </w:rPr>
        <w:t xml:space="preserve">. A korábbi irodalomból úttörő jelentőségű írás a most vizsgált összefüggésben: </w:t>
      </w:r>
      <w:r w:rsidRPr="006D6893">
        <w:rPr>
          <w:rStyle w:val="Kiemels"/>
          <w:b w:val="0"/>
          <w:color w:val="000000"/>
          <w:sz w:val="20"/>
          <w:szCs w:val="20"/>
        </w:rPr>
        <w:t>Szűcs Jenő</w:t>
      </w:r>
      <w:r w:rsidRPr="006D6893">
        <w:rPr>
          <w:color w:val="000000"/>
          <w:sz w:val="20"/>
          <w:szCs w:val="20"/>
        </w:rPr>
        <w:t xml:space="preserve">: </w:t>
      </w:r>
      <w:r w:rsidRPr="006D6893">
        <w:rPr>
          <w:rStyle w:val="Kiemels"/>
          <w:b w:val="0"/>
          <w:i/>
          <w:color w:val="000000"/>
          <w:sz w:val="20"/>
          <w:szCs w:val="20"/>
        </w:rPr>
        <w:t>Szent István</w:t>
      </w:r>
      <w:r w:rsidRPr="006D6893">
        <w:rPr>
          <w:i/>
          <w:color w:val="000000"/>
          <w:sz w:val="20"/>
          <w:szCs w:val="20"/>
        </w:rPr>
        <w:t xml:space="preserve"> király Intelmei: az első magyar </w:t>
      </w:r>
      <w:r w:rsidRPr="006D6893">
        <w:rPr>
          <w:rStyle w:val="Kiemels"/>
          <w:b w:val="0"/>
          <w:i/>
          <w:color w:val="000000"/>
          <w:sz w:val="20"/>
          <w:szCs w:val="20"/>
        </w:rPr>
        <w:t>államelméleti</w:t>
      </w:r>
      <w:r w:rsidRPr="006D6893">
        <w:rPr>
          <w:i/>
          <w:color w:val="000000"/>
          <w:sz w:val="20"/>
          <w:szCs w:val="20"/>
        </w:rPr>
        <w:t xml:space="preserve"> mű</w:t>
      </w:r>
      <w:r w:rsidRPr="006D6893">
        <w:rPr>
          <w:color w:val="000000"/>
          <w:sz w:val="20"/>
          <w:szCs w:val="20"/>
        </w:rPr>
        <w:t xml:space="preserve">, in </w:t>
      </w:r>
      <w:r w:rsidRPr="006D6893">
        <w:rPr>
          <w:rStyle w:val="Kiemels"/>
          <w:b w:val="0"/>
          <w:color w:val="000000"/>
          <w:sz w:val="20"/>
          <w:szCs w:val="20"/>
        </w:rPr>
        <w:t>Szent István</w:t>
      </w:r>
      <w:r w:rsidRPr="006D6893">
        <w:rPr>
          <w:color w:val="000000"/>
          <w:sz w:val="20"/>
          <w:szCs w:val="20"/>
        </w:rPr>
        <w:t xml:space="preserve"> és kora. Szerk. Glatz Ferenc és Kardos József. Bp., 1988. 32-53.</w:t>
      </w:r>
    </w:p>
  </w:footnote>
  <w:footnote w:id="5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Vö. Havas László: Janus Pannonius történelemkoncepciója. = A Debreceni Egyetem Egyetemi és Nemzeti Könyvtárának Közleményei, 2003, 7–37; uő.: L'Idéal de la cité dans l'oeuvre de Janus Pannonius comme un antipode de l'empire conceptualisé par Matthias Corvin = Matthias and his Legacy. Cultural and Political Encounters between East and West, ed. Bárány Attila- Györkös Attila, Debrecen, 2009, 149-162. Mindkét helyen további bőséges szakirodalom található.</w:t>
      </w:r>
    </w:p>
  </w:footnote>
  <w:footnote w:id="6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A csaknem 10.000 sor terjedelmű költői mű címe: </w:t>
      </w:r>
      <w:r w:rsidRPr="006D6893">
        <w:rPr>
          <w:i/>
          <w:sz w:val="20"/>
          <w:szCs w:val="20"/>
        </w:rPr>
        <w:t>Carmen unisonum</w:t>
      </w:r>
      <w:r w:rsidRPr="006D6893">
        <w:rPr>
          <w:sz w:val="20"/>
          <w:szCs w:val="20"/>
        </w:rPr>
        <w:t>. L. hozzá irodalomként a következőket: Erdélyi László</w:t>
      </w:r>
      <w:r w:rsidRPr="006D6893">
        <w:rPr>
          <w:color w:val="000000"/>
          <w:sz w:val="20"/>
          <w:szCs w:val="20"/>
        </w:rPr>
        <w:t xml:space="preserve"> – Sörös Pongrác</w:t>
      </w:r>
      <w:r w:rsidRPr="006D6893">
        <w:rPr>
          <w:sz w:val="20"/>
          <w:szCs w:val="20"/>
        </w:rPr>
        <w:t xml:space="preserve">: </w:t>
      </w:r>
      <w:r w:rsidRPr="006D6893">
        <w:rPr>
          <w:i/>
          <w:color w:val="000000"/>
          <w:sz w:val="20"/>
          <w:szCs w:val="20"/>
        </w:rPr>
        <w:t xml:space="preserve">A Pannonhalmi Szent-Benedek-Rend története, </w:t>
      </w:r>
      <w:r w:rsidRPr="006D6893">
        <w:rPr>
          <w:color w:val="000000"/>
          <w:sz w:val="20"/>
          <w:szCs w:val="20"/>
        </w:rPr>
        <w:t>Bp., 1902-1916, IV;</w:t>
      </w:r>
      <w:r w:rsidRPr="006D6893">
        <w:rPr>
          <w:rStyle w:val="Kiemels2"/>
          <w:sz w:val="20"/>
          <w:szCs w:val="20"/>
        </w:rPr>
        <w:t xml:space="preserve"> </w:t>
      </w:r>
      <w:r w:rsidRPr="006D6893">
        <w:rPr>
          <w:rStyle w:val="Kiemels2"/>
          <w:b w:val="0"/>
          <w:sz w:val="20"/>
          <w:szCs w:val="20"/>
        </w:rPr>
        <w:t>573-574,</w:t>
      </w:r>
      <w:r w:rsidRPr="006D6893">
        <w:rPr>
          <w:rStyle w:val="Kiemels2"/>
          <w:sz w:val="20"/>
          <w:szCs w:val="20"/>
        </w:rPr>
        <w:t xml:space="preserve"> </w:t>
      </w:r>
      <w:r w:rsidRPr="006D6893">
        <w:rPr>
          <w:rStyle w:val="Kiemels2"/>
          <w:b w:val="0"/>
          <w:sz w:val="20"/>
          <w:szCs w:val="20"/>
        </w:rPr>
        <w:t xml:space="preserve">továbbá: </w:t>
      </w:r>
      <w:r w:rsidRPr="006D6893">
        <w:rPr>
          <w:rStyle w:val="Kiemels"/>
          <w:b w:val="0"/>
          <w:sz w:val="20"/>
          <w:szCs w:val="20"/>
        </w:rPr>
        <w:t>Molnár Antal</w:t>
      </w:r>
      <w:r w:rsidRPr="006D6893">
        <w:rPr>
          <w:sz w:val="20"/>
          <w:szCs w:val="20"/>
        </w:rPr>
        <w:t>:</w:t>
      </w:r>
      <w:r w:rsidRPr="006D6893">
        <w:rPr>
          <w:i/>
          <w:sz w:val="20"/>
          <w:szCs w:val="20"/>
        </w:rPr>
        <w:t xml:space="preserve"> Karner Egyed kora (1699-1708)</w:t>
      </w:r>
      <w:r w:rsidRPr="006D6893">
        <w:rPr>
          <w:sz w:val="20"/>
          <w:szCs w:val="20"/>
        </w:rPr>
        <w:t xml:space="preserve">, in </w:t>
      </w:r>
      <w:r w:rsidRPr="006D6893">
        <w:rPr>
          <w:rStyle w:val="Kiemels"/>
          <w:b w:val="0"/>
          <w:i/>
          <w:sz w:val="20"/>
          <w:szCs w:val="20"/>
        </w:rPr>
        <w:t>Mons Sacer</w:t>
      </w:r>
      <w:r w:rsidRPr="006D6893">
        <w:rPr>
          <w:sz w:val="20"/>
          <w:szCs w:val="20"/>
        </w:rPr>
        <w:t xml:space="preserve"> </w:t>
      </w:r>
      <w:r w:rsidRPr="006D6893">
        <w:rPr>
          <w:i/>
          <w:sz w:val="20"/>
          <w:szCs w:val="20"/>
        </w:rPr>
        <w:t>996-1996, Pannonhalma 1000 éve</w:t>
      </w:r>
      <w:r w:rsidRPr="006D6893">
        <w:rPr>
          <w:sz w:val="20"/>
          <w:szCs w:val="20"/>
        </w:rPr>
        <w:t>,</w:t>
      </w:r>
      <w:r w:rsidRPr="006D6893">
        <w:rPr>
          <w:i/>
          <w:sz w:val="20"/>
          <w:szCs w:val="20"/>
        </w:rPr>
        <w:t xml:space="preserve"> </w:t>
      </w:r>
      <w:r w:rsidRPr="006D6893">
        <w:rPr>
          <w:rStyle w:val="Kiemels"/>
          <w:b w:val="0"/>
          <w:sz w:val="20"/>
          <w:szCs w:val="20"/>
        </w:rPr>
        <w:t>II</w:t>
      </w:r>
      <w:r w:rsidRPr="006D6893">
        <w:rPr>
          <w:rStyle w:val="Kiemels"/>
          <w:sz w:val="20"/>
          <w:szCs w:val="20"/>
        </w:rPr>
        <w:t>,</w:t>
      </w:r>
      <w:r w:rsidRPr="006D6893">
        <w:rPr>
          <w:i/>
          <w:sz w:val="20"/>
          <w:szCs w:val="20"/>
        </w:rPr>
        <w:t xml:space="preserve"> </w:t>
      </w:r>
      <w:r w:rsidRPr="006D6893">
        <w:rPr>
          <w:sz w:val="20"/>
          <w:szCs w:val="20"/>
        </w:rPr>
        <w:t>Pannonhalma, 1996, 49-58;</w:t>
      </w:r>
      <w:r w:rsidRPr="006D6893">
        <w:rPr>
          <w:rStyle w:val="Kiemels2"/>
          <w:sz w:val="20"/>
          <w:szCs w:val="20"/>
        </w:rPr>
        <w:t xml:space="preserve"> </w:t>
      </w:r>
      <w:r w:rsidRPr="006D6893">
        <w:rPr>
          <w:rStyle w:val="Kiemels"/>
          <w:b w:val="0"/>
          <w:sz w:val="20"/>
          <w:szCs w:val="20"/>
        </w:rPr>
        <w:t>Szentjakabi Lázár</w:t>
      </w:r>
      <w:r w:rsidRPr="006D6893">
        <w:rPr>
          <w:sz w:val="20"/>
          <w:szCs w:val="20"/>
        </w:rPr>
        <w:t xml:space="preserve">: </w:t>
      </w:r>
      <w:r w:rsidRPr="006D6893">
        <w:rPr>
          <w:i/>
          <w:sz w:val="20"/>
          <w:szCs w:val="20"/>
        </w:rPr>
        <w:t>Karner Egyed versei - Latin tanító költemények a. XVIII. század elejéről</w:t>
      </w:r>
      <w:r w:rsidRPr="006D6893">
        <w:rPr>
          <w:sz w:val="20"/>
          <w:szCs w:val="20"/>
        </w:rPr>
        <w:t xml:space="preserve">, </w:t>
      </w:r>
      <w:r w:rsidRPr="006D6893">
        <w:rPr>
          <w:rStyle w:val="Kiemels"/>
          <w:b w:val="0"/>
          <w:sz w:val="20"/>
          <w:szCs w:val="20"/>
        </w:rPr>
        <w:t>Pannonhalmi Füzetek 39</w:t>
      </w:r>
      <w:r w:rsidRPr="006D6893">
        <w:rPr>
          <w:sz w:val="20"/>
          <w:szCs w:val="20"/>
        </w:rPr>
        <w:t>, ismerteti: Szelestei N. László, Pannonhalmi Füzetek, Új sorozat, 36-44, ItK, 105, 2001, 736-740, közelebbről: 738; Bitskey István:</w:t>
      </w:r>
      <w:r w:rsidRPr="006D6893">
        <w:rPr>
          <w:i/>
          <w:sz w:val="20"/>
          <w:szCs w:val="20"/>
        </w:rPr>
        <w:t xml:space="preserve"> Mars és Pallas között</w:t>
      </w:r>
      <w:r w:rsidRPr="006D6893">
        <w:rPr>
          <w:sz w:val="20"/>
          <w:szCs w:val="20"/>
        </w:rPr>
        <w:t xml:space="preserve">, Debrecen, 2006, 193 (további irodalommal); </w:t>
      </w:r>
      <w:r w:rsidRPr="006D6893">
        <w:rPr>
          <w:rStyle w:val="Kiemels"/>
          <w:b w:val="0"/>
          <w:sz w:val="20"/>
          <w:szCs w:val="20"/>
        </w:rPr>
        <w:t>Havas László</w:t>
      </w:r>
      <w:r w:rsidRPr="006D6893">
        <w:rPr>
          <w:sz w:val="20"/>
          <w:szCs w:val="20"/>
        </w:rPr>
        <w:t xml:space="preserve">: </w:t>
      </w:r>
      <w:r w:rsidRPr="006D6893">
        <w:rPr>
          <w:i/>
          <w:sz w:val="20"/>
          <w:szCs w:val="20"/>
        </w:rPr>
        <w:t>A</w:t>
      </w:r>
      <w:r w:rsidRPr="006D6893">
        <w:rPr>
          <w:b/>
          <w:i/>
          <w:sz w:val="20"/>
          <w:szCs w:val="20"/>
        </w:rPr>
        <w:t xml:space="preserve"> </w:t>
      </w:r>
      <w:r w:rsidRPr="006D6893">
        <w:rPr>
          <w:rStyle w:val="Kiemels"/>
          <w:b w:val="0"/>
          <w:i/>
          <w:sz w:val="20"/>
          <w:szCs w:val="20"/>
        </w:rPr>
        <w:t>klasszika</w:t>
      </w:r>
      <w:r w:rsidRPr="006D6893">
        <w:rPr>
          <w:b/>
          <w:i/>
          <w:sz w:val="20"/>
          <w:szCs w:val="20"/>
        </w:rPr>
        <w:t>-</w:t>
      </w:r>
      <w:r w:rsidRPr="006D6893">
        <w:rPr>
          <w:rStyle w:val="Kiemels"/>
          <w:b w:val="0"/>
          <w:i/>
          <w:sz w:val="20"/>
          <w:szCs w:val="20"/>
        </w:rPr>
        <w:t>filológiai</w:t>
      </w:r>
      <w:r w:rsidRPr="006D6893">
        <w:rPr>
          <w:i/>
          <w:sz w:val="20"/>
          <w:szCs w:val="20"/>
        </w:rPr>
        <w:t xml:space="preserve"> műhely tevékenysége a Debreceni Egyetemen</w:t>
      </w:r>
      <w:r w:rsidRPr="006D6893">
        <w:rPr>
          <w:sz w:val="20"/>
          <w:szCs w:val="20"/>
        </w:rPr>
        <w:t xml:space="preserve">, </w:t>
      </w:r>
      <w:r w:rsidRPr="006D6893">
        <w:rPr>
          <w:rStyle w:val="Kiemels"/>
          <w:b w:val="0"/>
          <w:sz w:val="20"/>
          <w:szCs w:val="20"/>
        </w:rPr>
        <w:t>Debreceni</w:t>
      </w:r>
      <w:r w:rsidRPr="006D6893">
        <w:rPr>
          <w:rStyle w:val="Kiemels"/>
          <w:sz w:val="20"/>
          <w:szCs w:val="20"/>
        </w:rPr>
        <w:t xml:space="preserve"> </w:t>
      </w:r>
      <w:r w:rsidRPr="006D6893">
        <w:rPr>
          <w:rStyle w:val="Kiemels"/>
          <w:b w:val="0"/>
          <w:sz w:val="20"/>
          <w:szCs w:val="20"/>
        </w:rPr>
        <w:t>Szemle</w:t>
      </w:r>
      <w:r w:rsidRPr="006D6893">
        <w:rPr>
          <w:i/>
          <w:sz w:val="20"/>
          <w:szCs w:val="20"/>
        </w:rPr>
        <w:t>,</w:t>
      </w:r>
      <w:r w:rsidRPr="006D6893">
        <w:rPr>
          <w:sz w:val="20"/>
          <w:szCs w:val="20"/>
        </w:rPr>
        <w:t xml:space="preserve"> 2009/1. 96–110; L. P. Glückert, L., P. Ludwig Babenstuber. </w:t>
      </w:r>
      <w:r w:rsidRPr="006D6893">
        <w:rPr>
          <w:i/>
          <w:sz w:val="20"/>
          <w:szCs w:val="20"/>
        </w:rPr>
        <w:t xml:space="preserve">Ein benediktinisches Gelehrtenbild, </w:t>
      </w:r>
      <w:r w:rsidRPr="006D6893">
        <w:rPr>
          <w:sz w:val="20"/>
          <w:szCs w:val="20"/>
        </w:rPr>
        <w:t xml:space="preserve">Benediktinische Monatsschrift zur Pflege religiösen und geistigen Lebens, 8, 1926, 141-148; Friedrich Wilhelm Bautz s. v. L. Babenstuber, BBKL, Band I, 1990, 316. </w:t>
      </w:r>
    </w:p>
  </w:footnote>
  <w:footnote w:id="7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Vele kapcsolatban máig mértékadó áttekintés: </w:t>
      </w:r>
      <w:r w:rsidRPr="006D6893">
        <w:rPr>
          <w:rStyle w:val="Kiemels"/>
          <w:b w:val="0"/>
          <w:color w:val="000000"/>
          <w:sz w:val="20"/>
          <w:szCs w:val="20"/>
        </w:rPr>
        <w:t>Bán Imre</w:t>
      </w:r>
      <w:r w:rsidRPr="006D6893">
        <w:rPr>
          <w:sz w:val="20"/>
          <w:szCs w:val="20"/>
        </w:rPr>
        <w:t xml:space="preserve">: Apáczai </w:t>
      </w:r>
      <w:r w:rsidRPr="006D6893">
        <w:rPr>
          <w:rStyle w:val="Kiemels"/>
          <w:b w:val="0"/>
          <w:color w:val="000000"/>
          <w:sz w:val="20"/>
          <w:szCs w:val="20"/>
        </w:rPr>
        <w:t>Cs</w:t>
      </w:r>
      <w:r w:rsidRPr="006D6893">
        <w:rPr>
          <w:sz w:val="20"/>
          <w:szCs w:val="20"/>
        </w:rPr>
        <w:t xml:space="preserve">ere </w:t>
      </w:r>
      <w:r w:rsidRPr="006D6893">
        <w:rPr>
          <w:rStyle w:val="Kiemels"/>
          <w:b w:val="0"/>
          <w:color w:val="000000"/>
          <w:sz w:val="20"/>
          <w:szCs w:val="20"/>
        </w:rPr>
        <w:t>J</w:t>
      </w:r>
      <w:r w:rsidRPr="006D6893">
        <w:rPr>
          <w:sz w:val="20"/>
          <w:szCs w:val="20"/>
        </w:rPr>
        <w:t xml:space="preserve">ános, </w:t>
      </w:r>
      <w:r w:rsidRPr="006D6893">
        <w:rPr>
          <w:rStyle w:val="Kiemels"/>
          <w:b w:val="0"/>
          <w:color w:val="000000"/>
          <w:sz w:val="20"/>
          <w:szCs w:val="20"/>
        </w:rPr>
        <w:t>Bp</w:t>
      </w:r>
      <w:r w:rsidRPr="006D6893">
        <w:rPr>
          <w:sz w:val="20"/>
          <w:szCs w:val="20"/>
        </w:rPr>
        <w:t xml:space="preserve">., </w:t>
      </w:r>
      <w:r w:rsidRPr="006D6893">
        <w:rPr>
          <w:rStyle w:val="Kiemels"/>
          <w:b w:val="0"/>
          <w:color w:val="000000"/>
          <w:sz w:val="20"/>
          <w:szCs w:val="20"/>
        </w:rPr>
        <w:t>1958</w:t>
      </w:r>
      <w:r w:rsidRPr="006D6893">
        <w:rPr>
          <w:sz w:val="20"/>
          <w:szCs w:val="20"/>
        </w:rPr>
        <w:t xml:space="preserve">, </w:t>
      </w:r>
      <w:r w:rsidRPr="006D6893">
        <w:rPr>
          <w:rStyle w:val="Kiemels"/>
          <w:b w:val="0"/>
          <w:color w:val="000000"/>
          <w:sz w:val="20"/>
          <w:szCs w:val="20"/>
        </w:rPr>
        <w:t>bőv</w:t>
      </w:r>
      <w:r w:rsidRPr="006D6893">
        <w:rPr>
          <w:sz w:val="20"/>
          <w:szCs w:val="20"/>
        </w:rPr>
        <w:t xml:space="preserve">. </w:t>
      </w:r>
      <w:r w:rsidRPr="006D6893">
        <w:rPr>
          <w:rStyle w:val="Kiemels"/>
          <w:b w:val="0"/>
          <w:color w:val="000000"/>
          <w:sz w:val="20"/>
          <w:szCs w:val="20"/>
        </w:rPr>
        <w:t>kiad</w:t>
      </w:r>
      <w:r w:rsidRPr="006D6893">
        <w:rPr>
          <w:sz w:val="20"/>
          <w:szCs w:val="20"/>
        </w:rPr>
        <w:t xml:space="preserve">. </w:t>
      </w:r>
      <w:r w:rsidRPr="006D6893">
        <w:rPr>
          <w:rStyle w:val="Kiemels"/>
          <w:b w:val="0"/>
          <w:color w:val="000000"/>
          <w:sz w:val="20"/>
          <w:szCs w:val="20"/>
        </w:rPr>
        <w:t>Bp</w:t>
      </w:r>
      <w:r w:rsidRPr="006D6893">
        <w:rPr>
          <w:sz w:val="20"/>
          <w:szCs w:val="20"/>
        </w:rPr>
        <w:t xml:space="preserve">., </w:t>
      </w:r>
      <w:r w:rsidRPr="006D6893">
        <w:rPr>
          <w:rStyle w:val="Kiemels"/>
          <w:b w:val="0"/>
          <w:color w:val="000000"/>
          <w:sz w:val="20"/>
          <w:szCs w:val="20"/>
        </w:rPr>
        <w:t>2003</w:t>
      </w:r>
      <w:r w:rsidRPr="006D6893">
        <w:rPr>
          <w:rStyle w:val="Kiemels"/>
          <w:b w:val="0"/>
          <w:color w:val="000000"/>
          <w:sz w:val="20"/>
          <w:szCs w:val="20"/>
          <w:vertAlign w:val="superscript"/>
        </w:rPr>
        <w:t>2</w:t>
      </w:r>
      <w:r w:rsidRPr="006D6893">
        <w:rPr>
          <w:sz w:val="20"/>
          <w:szCs w:val="20"/>
        </w:rPr>
        <w:t xml:space="preserve">. (A </w:t>
      </w:r>
      <w:r w:rsidRPr="006D6893">
        <w:rPr>
          <w:rStyle w:val="Kiemels"/>
          <w:b w:val="0"/>
          <w:color w:val="000000"/>
          <w:sz w:val="20"/>
          <w:szCs w:val="20"/>
        </w:rPr>
        <w:t>róla szóló irodalommal</w:t>
      </w:r>
      <w:r w:rsidRPr="006D6893">
        <w:rPr>
          <w:b/>
          <w:sz w:val="20"/>
          <w:szCs w:val="20"/>
        </w:rPr>
        <w:t>.</w:t>
      </w:r>
      <w:r w:rsidRPr="006D6893">
        <w:rPr>
          <w:sz w:val="20"/>
          <w:szCs w:val="20"/>
        </w:rPr>
        <w:t xml:space="preserve"> A </w:t>
      </w:r>
      <w:r w:rsidRPr="006D6893">
        <w:rPr>
          <w:rStyle w:val="Kiemels"/>
          <w:b w:val="0"/>
          <w:color w:val="000000"/>
          <w:sz w:val="20"/>
          <w:szCs w:val="20"/>
        </w:rPr>
        <w:t>bibliográfiai függeléket összeáll</w:t>
      </w:r>
      <w:r w:rsidRPr="006D6893">
        <w:rPr>
          <w:sz w:val="20"/>
          <w:szCs w:val="20"/>
        </w:rPr>
        <w:t xml:space="preserve">.: </w:t>
      </w:r>
      <w:r w:rsidRPr="006D6893">
        <w:rPr>
          <w:rStyle w:val="Kiemels"/>
          <w:b w:val="0"/>
          <w:color w:val="000000"/>
          <w:sz w:val="20"/>
          <w:szCs w:val="20"/>
        </w:rPr>
        <w:t>V</w:t>
      </w:r>
      <w:r w:rsidRPr="006D6893">
        <w:rPr>
          <w:sz w:val="20"/>
          <w:szCs w:val="20"/>
        </w:rPr>
        <w:t xml:space="preserve">. </w:t>
      </w:r>
      <w:r w:rsidRPr="006D6893">
        <w:rPr>
          <w:rStyle w:val="Kiemels"/>
          <w:b w:val="0"/>
          <w:color w:val="000000"/>
          <w:sz w:val="20"/>
          <w:szCs w:val="20"/>
        </w:rPr>
        <w:t>Molnár László</w:t>
      </w:r>
      <w:r w:rsidRPr="006D6893">
        <w:rPr>
          <w:sz w:val="20"/>
          <w:szCs w:val="20"/>
        </w:rPr>
        <w:t xml:space="preserve">, </w:t>
      </w:r>
      <w:r w:rsidRPr="006D6893">
        <w:rPr>
          <w:rStyle w:val="Kiemels"/>
          <w:b w:val="0"/>
          <w:color w:val="000000"/>
          <w:sz w:val="20"/>
          <w:szCs w:val="20"/>
        </w:rPr>
        <w:t>Gazda István)</w:t>
      </w:r>
      <w:r w:rsidRPr="006D6893">
        <w:rPr>
          <w:sz w:val="20"/>
          <w:szCs w:val="20"/>
        </w:rPr>
        <w:t>.</w:t>
      </w:r>
    </w:p>
  </w:footnote>
  <w:footnote w:id="8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L. erről: </w:t>
      </w:r>
      <w:r w:rsidRPr="006D6893">
        <w:rPr>
          <w:i/>
          <w:sz w:val="20"/>
          <w:szCs w:val="20"/>
        </w:rPr>
        <w:t>De jure belli</w:t>
      </w:r>
      <w:r w:rsidRPr="006D6893">
        <w:rPr>
          <w:sz w:val="20"/>
          <w:szCs w:val="20"/>
        </w:rPr>
        <w:t xml:space="preserve">, Utrecht, 1658. Ezen kívül: </w:t>
      </w:r>
      <w:r w:rsidRPr="006D6893">
        <w:rPr>
          <w:i/>
          <w:sz w:val="20"/>
          <w:szCs w:val="20"/>
        </w:rPr>
        <w:t>Disputatio juridica de jure pacis</w:t>
      </w:r>
      <w:r w:rsidRPr="006D6893">
        <w:rPr>
          <w:sz w:val="20"/>
          <w:szCs w:val="20"/>
        </w:rPr>
        <w:t xml:space="preserve"> (Lugduni Batavorum = Leiden, 1660), In Iohannis Nadányi: </w:t>
      </w:r>
      <w:r w:rsidRPr="006D6893">
        <w:rPr>
          <w:i/>
          <w:sz w:val="20"/>
          <w:szCs w:val="20"/>
        </w:rPr>
        <w:t>Opera selecta</w:t>
      </w:r>
      <w:r w:rsidRPr="006D6893">
        <w:rPr>
          <w:sz w:val="20"/>
          <w:szCs w:val="20"/>
        </w:rPr>
        <w:t xml:space="preserve">, ed. Ladislaus Havas, Debrecen, 2003, 5 skk., vö. Havas László: </w:t>
      </w:r>
      <w:r w:rsidRPr="006D6893">
        <w:rPr>
          <w:i/>
          <w:sz w:val="20"/>
          <w:szCs w:val="20"/>
        </w:rPr>
        <w:t>Nadányi J</w:t>
      </w:r>
      <w:r w:rsidRPr="006D6893">
        <w:rPr>
          <w:sz w:val="20"/>
          <w:szCs w:val="20"/>
        </w:rPr>
        <w:t>. címszó in Magyar Művelődéstörténeti Lexikon = MaMűL, főszerk. Kőszeghy Péter, Bp., 2008, 61-62, ahol további irodalom is fellelhető.</w:t>
      </w:r>
    </w:p>
  </w:footnote>
  <w:footnote w:id="9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Ács Pál: </w:t>
      </w:r>
      <w:r w:rsidRPr="006D6893">
        <w:rPr>
          <w:bCs/>
          <w:i/>
          <w:sz w:val="20"/>
          <w:szCs w:val="20"/>
        </w:rPr>
        <w:t>David Hume eszméi a magyar felvilágosodásban</w:t>
      </w:r>
      <w:r w:rsidRPr="006D6893">
        <w:rPr>
          <w:bCs/>
          <w:sz w:val="20"/>
          <w:szCs w:val="20"/>
        </w:rPr>
        <w:t>, In</w:t>
      </w:r>
      <w:r w:rsidRPr="006D6893">
        <w:rPr>
          <w:sz w:val="20"/>
          <w:szCs w:val="20"/>
        </w:rPr>
        <w:t xml:space="preserve"> </w:t>
      </w:r>
      <w:hyperlink r:id="rId1" w:history="1">
        <w:r w:rsidRPr="006D6893">
          <w:rPr>
            <w:rStyle w:val="Hiperhivatkozs"/>
            <w:color w:val="auto"/>
            <w:sz w:val="20"/>
            <w:szCs w:val="20"/>
            <w:u w:val="none"/>
          </w:rPr>
          <w:t>Nem sűlyed az emberiség!”…</w:t>
        </w:r>
      </w:hyperlink>
      <w:r w:rsidRPr="006D6893">
        <w:rPr>
          <w:sz w:val="20"/>
          <w:szCs w:val="20"/>
        </w:rPr>
        <w:t xml:space="preserve"> </w:t>
      </w:r>
      <w:r w:rsidRPr="006D6893">
        <w:rPr>
          <w:rStyle w:val="Kiemels"/>
          <w:b w:val="0"/>
          <w:sz w:val="20"/>
          <w:szCs w:val="20"/>
        </w:rPr>
        <w:t>Szörényi László</w:t>
      </w:r>
      <w:r w:rsidRPr="006D6893">
        <w:rPr>
          <w:sz w:val="20"/>
          <w:szCs w:val="20"/>
        </w:rPr>
        <w:t xml:space="preserve"> LX. Születésnapjára, főszerk. Jankovics József, 543-558 – további gazdag szakirodalommal.</w:t>
      </w:r>
    </w:p>
  </w:footnote>
  <w:footnote w:id="10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</w:t>
      </w:r>
      <w:r w:rsidRPr="006D6893">
        <w:rPr>
          <w:color w:val="191919"/>
          <w:sz w:val="20"/>
          <w:szCs w:val="20"/>
        </w:rPr>
        <w:t>Uo., 558.</w:t>
      </w:r>
    </w:p>
    <w:p w:rsidR="007C03CB" w:rsidRDefault="007C03CB">
      <w:pPr>
        <w:pStyle w:val="Lbjegyzetszveg"/>
      </w:pPr>
    </w:p>
  </w:footnote>
  <w:footnote w:id="11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L. erről pl.: </w:t>
      </w:r>
      <w:r w:rsidRPr="006D6893">
        <w:rPr>
          <w:sz w:val="20"/>
          <w:szCs w:val="20"/>
          <w:lang w:val="de-DE"/>
        </w:rPr>
        <w:t xml:space="preserve">Otfried Höffe: </w:t>
      </w:r>
      <w:r w:rsidRPr="006D6893">
        <w:rPr>
          <w:i/>
          <w:sz w:val="20"/>
          <w:szCs w:val="20"/>
          <w:lang w:val="de-DE"/>
        </w:rPr>
        <w:t>Königliche Völker. Zu Kants kosmopolitischer Rechts- und Friedenstheorie,</w:t>
      </w:r>
      <w:r w:rsidRPr="006D6893">
        <w:rPr>
          <w:sz w:val="20"/>
          <w:szCs w:val="20"/>
          <w:lang w:val="de-DE"/>
        </w:rPr>
        <w:t xml:space="preserve"> Frankfurt aM., 2001.</w:t>
      </w:r>
      <w:r w:rsidRPr="006D6893">
        <w:rPr>
          <w:sz w:val="20"/>
          <w:szCs w:val="20"/>
        </w:rPr>
        <w:t xml:space="preserve"> Magyar részről itt utalni kell a következő kiadványra: Ludassy Mária</w:t>
      </w:r>
      <w:r w:rsidRPr="006D6893">
        <w:rPr>
          <w:i/>
          <w:sz w:val="20"/>
          <w:szCs w:val="20"/>
        </w:rPr>
        <w:t xml:space="preserve"> szerk.: A felvilágosodás álmai és árnyai, </w:t>
      </w:r>
      <w:r w:rsidRPr="006D6893">
        <w:rPr>
          <w:sz w:val="20"/>
          <w:szCs w:val="20"/>
        </w:rPr>
        <w:t>Budapest, 2007</w:t>
      </w:r>
      <w:r w:rsidRPr="006D6893">
        <w:rPr>
          <w:sz w:val="20"/>
          <w:szCs w:val="20"/>
          <w:lang w:val="de-DE"/>
        </w:rPr>
        <w:t>, amelynek „</w:t>
      </w:r>
      <w:r w:rsidRPr="006D6893">
        <w:rPr>
          <w:sz w:val="20"/>
          <w:szCs w:val="20"/>
        </w:rPr>
        <w:t>Felvilágosodás és liberalizmus” c. fejezetében Ludassy Mária (Recta Ratio vagy modus vivendi?) az emberjogi univerzalizmus és a multikulturalizmus modernkori szembenállásának problematikáját érinti, kitérve a felvilágosodás időszakának előzményére is, mint amilyen pl. Kant kozmopolita színezetű öröksége. L. a kötettel kapcsolatban</w:t>
      </w:r>
      <w:r w:rsidRPr="006D6893">
        <w:rPr>
          <w:color w:val="000000"/>
          <w:sz w:val="20"/>
          <w:szCs w:val="20"/>
        </w:rPr>
        <w:t>.</w:t>
      </w:r>
      <w:r w:rsidRPr="006D6893">
        <w:rPr>
          <w:sz w:val="20"/>
          <w:szCs w:val="20"/>
        </w:rPr>
        <w:t xml:space="preserve"> </w:t>
      </w:r>
      <w:r w:rsidRPr="006D6893">
        <w:rPr>
          <w:color w:val="000000"/>
          <w:sz w:val="20"/>
          <w:szCs w:val="20"/>
        </w:rPr>
        <w:t>Antos Zsolt</w:t>
      </w:r>
      <w:r w:rsidRPr="006D6893">
        <w:rPr>
          <w:sz w:val="20"/>
          <w:szCs w:val="20"/>
        </w:rPr>
        <w:t xml:space="preserve"> ismertetését In Magyar Tudomány, 2009/1, 120 skk.</w:t>
      </w:r>
    </w:p>
  </w:footnote>
  <w:footnote w:id="12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</w:t>
      </w:r>
      <w:r w:rsidRPr="006D6893">
        <w:rPr>
          <w:iCs/>
          <w:sz w:val="20"/>
          <w:szCs w:val="20"/>
        </w:rPr>
        <w:t xml:space="preserve">Vö. </w:t>
      </w:r>
      <w:r w:rsidRPr="006D6893">
        <w:rPr>
          <w:sz w:val="20"/>
          <w:szCs w:val="20"/>
        </w:rPr>
        <w:t xml:space="preserve">Maurizio Ferraris: </w:t>
      </w:r>
      <w:r w:rsidRPr="006D6893">
        <w:rPr>
          <w:i/>
          <w:iCs/>
          <w:sz w:val="20"/>
          <w:szCs w:val="20"/>
        </w:rPr>
        <w:t xml:space="preserve">Good bye Kant!: Ce qu'il reste aujourd'hui de </w:t>
      </w:r>
      <w:smartTag w:uri="urn:schemas-microsoft-com:office:smarttags" w:element="PersonName">
        <w:smartTagPr>
          <w:attr w:name="ProductID" w:val="La Critique"/>
        </w:smartTagPr>
        <w:r w:rsidRPr="006D6893">
          <w:rPr>
            <w:i/>
            <w:iCs/>
            <w:sz w:val="20"/>
            <w:szCs w:val="20"/>
          </w:rPr>
          <w:t>La Critique</w:t>
        </w:r>
      </w:smartTag>
      <w:r w:rsidRPr="006D6893">
        <w:rPr>
          <w:i/>
          <w:iCs/>
          <w:sz w:val="20"/>
          <w:szCs w:val="20"/>
        </w:rPr>
        <w:t xml:space="preserve"> de la raison pure?</w:t>
      </w:r>
      <w:r w:rsidRPr="006D6893">
        <w:rPr>
          <w:sz w:val="20"/>
          <w:szCs w:val="20"/>
        </w:rPr>
        <w:t xml:space="preserve">, Pascal Engel (Préface), Ed. de l'Eclat, </w:t>
      </w:r>
      <w:r w:rsidRPr="006D6893">
        <w:rPr>
          <w:sz w:val="20"/>
          <w:szCs w:val="20"/>
          <w:lang w:val="fr-FR"/>
        </w:rPr>
        <w:t xml:space="preserve">Paris – Tel-Aviv, </w:t>
      </w:r>
      <w:r w:rsidRPr="006D6893">
        <w:rPr>
          <w:sz w:val="20"/>
          <w:szCs w:val="20"/>
        </w:rPr>
        <w:t>2009;</w:t>
      </w:r>
      <w:r w:rsidRPr="006D6893">
        <w:rPr>
          <w:sz w:val="20"/>
          <w:szCs w:val="20"/>
          <w:lang w:val="fr-FR"/>
        </w:rPr>
        <w:t xml:space="preserve"> Gérard Lebrun: </w:t>
      </w:r>
      <w:r w:rsidRPr="006D6893">
        <w:rPr>
          <w:i/>
          <w:iCs/>
          <w:sz w:val="20"/>
          <w:szCs w:val="20"/>
          <w:lang w:val="fr-FR"/>
        </w:rPr>
        <w:t>Kant sans kantisme</w:t>
      </w:r>
      <w:r w:rsidRPr="006D6893">
        <w:rPr>
          <w:sz w:val="20"/>
          <w:szCs w:val="20"/>
          <w:lang w:val="fr-FR"/>
        </w:rPr>
        <w:t>, Ed. Fayard, Paris, 2009</w:t>
      </w:r>
      <w:r w:rsidRPr="006D6893">
        <w:rPr>
          <w:iCs/>
          <w:sz w:val="20"/>
          <w:szCs w:val="20"/>
        </w:rPr>
        <w:t>.</w:t>
      </w:r>
    </w:p>
  </w:footnote>
  <w:footnote w:id="13">
    <w:p w:rsidR="007C03CB" w:rsidRDefault="007C03CB" w:rsidP="006D6893">
      <w:pPr>
        <w:jc w:val="both"/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A munka problémafölvető első fejezete szerencsés módon bekerült az úttörő jelentőségű Tüskés Gábor féle összeállításba: </w:t>
      </w:r>
      <w:r w:rsidRPr="006D6893">
        <w:rPr>
          <w:i/>
          <w:sz w:val="20"/>
          <w:szCs w:val="20"/>
        </w:rPr>
        <w:t xml:space="preserve">Magyarországi gondolkodók – 18. század. Bölcsészettudományok, </w:t>
      </w:r>
      <w:r w:rsidRPr="006D6893">
        <w:rPr>
          <w:sz w:val="20"/>
          <w:szCs w:val="20"/>
        </w:rPr>
        <w:t>I, Bp., 2010, 153 skk. Ehhez bőséges jegyzetanyag is kapcsolódik (853 skk), s mindez e sorok írójának tollából származik. A kötet mértéktartó és -adó utószavát a szerkesztő írta: 1067 skk.</w:t>
      </w:r>
    </w:p>
  </w:footnote>
  <w:footnote w:id="14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A magyarországi Kant-fogadtatáshoz l. Pukánszky Béla: </w:t>
      </w:r>
      <w:r w:rsidRPr="006D6893">
        <w:rPr>
          <w:i/>
          <w:sz w:val="20"/>
          <w:szCs w:val="20"/>
        </w:rPr>
        <w:t>Kant első magyar követői és ellenfelei</w:t>
      </w:r>
      <w:r w:rsidRPr="006D6893">
        <w:rPr>
          <w:sz w:val="20"/>
          <w:szCs w:val="20"/>
        </w:rPr>
        <w:t xml:space="preserve">, In: Protestáns Szemle, 5–6, 1924, 294–303.; Horkay László: </w:t>
      </w:r>
      <w:r w:rsidRPr="006D6893">
        <w:rPr>
          <w:i/>
          <w:sz w:val="20"/>
          <w:szCs w:val="20"/>
        </w:rPr>
        <w:t>Kant első magyar követői</w:t>
      </w:r>
      <w:r w:rsidRPr="006D6893">
        <w:rPr>
          <w:sz w:val="20"/>
          <w:szCs w:val="20"/>
        </w:rPr>
        <w:t xml:space="preserve">, In Szauder József – Tarnai Andor (szerk.): </w:t>
      </w:r>
      <w:r w:rsidRPr="006D6893">
        <w:rPr>
          <w:i/>
          <w:sz w:val="20"/>
          <w:szCs w:val="20"/>
        </w:rPr>
        <w:t>Irodalom és felvilágosodás: Tanulmányok</w:t>
      </w:r>
      <w:r w:rsidRPr="006D6893">
        <w:rPr>
          <w:sz w:val="20"/>
          <w:szCs w:val="20"/>
        </w:rPr>
        <w:t xml:space="preserve">, Bp., 1974, 201–228.; Mészáros András (2000): 98–116. Minderről további információkat ad Perecz László írása: </w:t>
      </w:r>
      <w:r w:rsidRPr="006D6893">
        <w:rPr>
          <w:i/>
          <w:sz w:val="20"/>
          <w:szCs w:val="20"/>
        </w:rPr>
        <w:t xml:space="preserve">A magyar filozófiai intézményrendszer kialakulása </w:t>
      </w:r>
      <w:r w:rsidRPr="006D6893">
        <w:rPr>
          <w:sz w:val="20"/>
          <w:szCs w:val="20"/>
        </w:rPr>
        <w:t>„Recepció és kreativitás. Nyitott magyar kultúra.” Sorozatszerkesztő: Palló Gábor. Közelítések a magyar filozófia történetéhez. Magyarország és a modernitás. Szerk. : Mester Béla és Perecz László. Budapest, 2004.</w:t>
      </w:r>
    </w:p>
  </w:footnote>
  <w:footnote w:id="15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L. ehhez: Málnási Bartók György: </w:t>
      </w:r>
      <w:hyperlink r:id="rId2" w:tooltip="Immanuel Kant" w:history="1">
        <w:r w:rsidRPr="006D6893">
          <w:rPr>
            <w:rStyle w:val="Hiperhivatkozs"/>
            <w:i/>
            <w:iCs/>
            <w:color w:val="auto"/>
            <w:sz w:val="20"/>
            <w:szCs w:val="20"/>
            <w:u w:val="none"/>
          </w:rPr>
          <w:t>Kant</w:t>
        </w:r>
      </w:hyperlink>
      <w:r w:rsidRPr="006D6893">
        <w:rPr>
          <w:sz w:val="20"/>
          <w:szCs w:val="20"/>
        </w:rPr>
        <w:t xml:space="preserve">, </w:t>
      </w:r>
      <w:hyperlink r:id="rId3" w:tooltip="Torda" w:history="1">
        <w:r w:rsidRPr="006D6893">
          <w:rPr>
            <w:rStyle w:val="Hiperhivatkozs"/>
            <w:color w:val="auto"/>
            <w:sz w:val="20"/>
            <w:szCs w:val="20"/>
            <w:u w:val="none"/>
          </w:rPr>
          <w:t>Torda</w:t>
        </w:r>
      </w:hyperlink>
      <w:r w:rsidRPr="006D6893">
        <w:rPr>
          <w:sz w:val="20"/>
          <w:szCs w:val="20"/>
        </w:rPr>
        <w:t>, 1925 = Mikes International, Hága, 2005, 55-</w:t>
      </w:r>
      <w:smartTag w:uri="urn:schemas-microsoft-com:office:smarttags" w:element="metricconverter">
        <w:smartTagPr>
          <w:attr w:name="ProductID" w:val="58 a"/>
        </w:smartTagPr>
        <w:r w:rsidRPr="006D6893">
          <w:rPr>
            <w:sz w:val="20"/>
            <w:szCs w:val="20"/>
          </w:rPr>
          <w:t>58 a</w:t>
        </w:r>
      </w:smartTag>
      <w:r w:rsidRPr="006D6893">
        <w:rPr>
          <w:sz w:val="20"/>
          <w:szCs w:val="20"/>
        </w:rPr>
        <w:t xml:space="preserve"> további idevágó régebbi irodalommal, vö. még uő.:</w:t>
      </w:r>
      <w:r w:rsidRPr="006D6893">
        <w:rPr>
          <w:i/>
          <w:iCs/>
          <w:sz w:val="20"/>
          <w:szCs w:val="20"/>
        </w:rPr>
        <w:t xml:space="preserve"> Kant etikája és a német idealizmus erkölcsbölcselete</w:t>
      </w:r>
      <w:r w:rsidRPr="006D6893">
        <w:rPr>
          <w:sz w:val="20"/>
          <w:szCs w:val="20"/>
        </w:rPr>
        <w:t>. Budapest, 1930.</w:t>
      </w:r>
    </w:p>
  </w:footnote>
  <w:footnote w:id="16">
    <w:p w:rsidR="007C03CB" w:rsidRDefault="007C03CB" w:rsidP="006D6893">
      <w:pPr>
        <w:jc w:val="both"/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Vö. Málnási Bartók György 2005, 56.</w:t>
      </w:r>
    </w:p>
  </w:footnote>
  <w:footnote w:id="17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Magával a kanti episztemologiai apriorizmussal összefüggésben, amely szerint a megismerés annak az emberi szellemnek a logikai struktúráját tükrözi vissza, amely a világot mintegy „lefedi” az általa létrehozott kategóriákkal, lásd a múlt századi liberális gazdaság-és erkölcsfilozófia egyik alapművét: </w:t>
      </w:r>
      <w:hyperlink r:id="rId4" w:tooltip="Ludwig von Mises" w:history="1">
        <w:r w:rsidRPr="006D6893">
          <w:rPr>
            <w:rStyle w:val="Hiperhivatkozs"/>
            <w:color w:val="auto"/>
            <w:sz w:val="20"/>
            <w:szCs w:val="20"/>
            <w:u w:val="none"/>
          </w:rPr>
          <w:t>Ludwig von Mises</w:t>
        </w:r>
      </w:hyperlink>
      <w:r w:rsidRPr="006D6893">
        <w:rPr>
          <w:sz w:val="20"/>
          <w:szCs w:val="20"/>
        </w:rPr>
        <w:t xml:space="preserve">, </w:t>
      </w:r>
      <w:r w:rsidRPr="006D6893">
        <w:rPr>
          <w:i/>
          <w:iCs/>
          <w:sz w:val="20"/>
          <w:szCs w:val="20"/>
        </w:rPr>
        <w:t>Human Action a Treatise on Economics</w:t>
      </w:r>
      <w:r w:rsidRPr="006D6893">
        <w:rPr>
          <w:sz w:val="20"/>
          <w:szCs w:val="20"/>
        </w:rPr>
        <w:t>, 1949. Ezt az első kiadást még a Yale University Press tette közzé, s mentes a későbbi bővített kiadások súlyos hibáitól, amelyek gyakran az idegen nyelvű fordításokat is károsan befolyásolták.</w:t>
      </w:r>
    </w:p>
  </w:footnote>
  <w:footnote w:id="18">
    <w:p w:rsidR="007C03CB" w:rsidRDefault="007C03CB" w:rsidP="006D6893">
      <w:pPr>
        <w:jc w:val="both"/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A két filozófus kapcsolatáról, szellemi összefonódásáról jó képet ad ez a francia nyelvű szövegkiadvány: Moses Mendelssohn – </w:t>
      </w:r>
      <w:hyperlink r:id="rId5" w:tooltip="Emmanuel Kant" w:history="1">
        <w:r w:rsidRPr="006D6893">
          <w:rPr>
            <w:rStyle w:val="Hiperhivatkozs"/>
            <w:color w:val="auto"/>
            <w:sz w:val="20"/>
            <w:szCs w:val="20"/>
            <w:u w:val="none"/>
          </w:rPr>
          <w:t>Emmanuel Kant</w:t>
        </w:r>
      </w:hyperlink>
      <w:r w:rsidRPr="006D6893">
        <w:rPr>
          <w:sz w:val="20"/>
          <w:szCs w:val="20"/>
        </w:rPr>
        <w:t xml:space="preserve">, </w:t>
      </w:r>
      <w:r w:rsidRPr="006D6893">
        <w:rPr>
          <w:i/>
          <w:sz w:val="20"/>
          <w:szCs w:val="20"/>
        </w:rPr>
        <w:t>Qu'est-ce que les Lumières?</w:t>
      </w:r>
      <w:r w:rsidRPr="006D6893">
        <w:rPr>
          <w:sz w:val="20"/>
          <w:szCs w:val="20"/>
        </w:rPr>
        <w:t>, a magyarázatokat Cyril Morana készítette: Mille et une nuits, 2006,</w:t>
      </w:r>
      <w:r w:rsidRPr="006D6893">
        <w:rPr>
          <w:color w:val="000000"/>
          <w:sz w:val="20"/>
          <w:szCs w:val="20"/>
        </w:rPr>
        <w:t xml:space="preserve"> Paris, Collection : La petite collection </w:t>
      </w:r>
      <w:smartTag w:uri="urn:schemas-microsoft-com:office:smarttags" w:element="metricconverter">
        <w:smartTagPr>
          <w:attr w:name="ProductID" w:val="508, a"/>
        </w:smartTagPr>
        <w:r w:rsidRPr="006D6893">
          <w:rPr>
            <w:color w:val="000000"/>
            <w:sz w:val="20"/>
            <w:szCs w:val="20"/>
          </w:rPr>
          <w:t>508, a</w:t>
        </w:r>
      </w:smartTag>
      <w:r w:rsidRPr="006D6893">
        <w:rPr>
          <w:color w:val="000000"/>
          <w:sz w:val="20"/>
          <w:szCs w:val="20"/>
        </w:rPr>
        <w:t xml:space="preserve"> megjelenés időpontja: 30/08/</w:t>
      </w:r>
      <w:r w:rsidRPr="006D6893">
        <w:rPr>
          <w:rStyle w:val="Kiemels"/>
          <w:b w:val="0"/>
          <w:color w:val="000000"/>
          <w:sz w:val="20"/>
          <w:szCs w:val="20"/>
        </w:rPr>
        <w:t>2006</w:t>
      </w:r>
      <w:r w:rsidRPr="006D6893">
        <w:rPr>
          <w:b/>
          <w:color w:val="000000"/>
          <w:sz w:val="20"/>
          <w:szCs w:val="20"/>
        </w:rPr>
        <w:t>.</w:t>
      </w:r>
    </w:p>
  </w:footnote>
  <w:footnote w:id="19">
    <w:p w:rsidR="007C03CB" w:rsidRPr="006D6893" w:rsidRDefault="007C03CB" w:rsidP="006D6893">
      <w:pPr>
        <w:jc w:val="both"/>
        <w:rPr>
          <w:sz w:val="20"/>
          <w:szCs w:val="20"/>
        </w:rPr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Vö. </w:t>
      </w:r>
      <w:r w:rsidRPr="006D6893">
        <w:rPr>
          <w:sz w:val="20"/>
          <w:szCs w:val="20"/>
          <w:lang w:val="ru-RU"/>
        </w:rPr>
        <w:t xml:space="preserve">Volodymyr Oleksijovyc Abašnik (Abaschnik), </w:t>
      </w:r>
      <w:r w:rsidRPr="006D6893">
        <w:rPr>
          <w:i/>
          <w:sz w:val="20"/>
          <w:szCs w:val="20"/>
          <w:lang w:val="ru-RU"/>
        </w:rPr>
        <w:t>Ludwig Heinrich von Jakob (1759—1827), ein Hallescher Professor in Charkov und Sankt Petersburg</w:t>
      </w:r>
      <w:r w:rsidRPr="006D6893">
        <w:rPr>
          <w:sz w:val="20"/>
          <w:szCs w:val="20"/>
          <w:lang w:val="ru-RU"/>
        </w:rPr>
        <w:t>, in: Europa in der Frühen Neuzeit. Festschrift für Günter Mühlpfordt. Bd 7: Unbekannte Quellen; Aufsätze zu Entwicklung, Vorstufen, Grenzen und Fortwirken der Frühneuzeit in und um Europa; Inhaltsverzeichnisse der Bände 1-6; Personenregister der Bände 1-7, hg. von Erich Donnert, Köln, Weimar, Wien 2008, S. 895—927.</w:t>
      </w:r>
    </w:p>
  </w:footnote>
  <w:footnote w:id="20">
    <w:p w:rsidR="007C03CB" w:rsidRDefault="007C03CB" w:rsidP="006D6893">
      <w:pPr>
        <w:jc w:val="both"/>
      </w:pPr>
      <w:r w:rsidRPr="006D6893">
        <w:rPr>
          <w:rStyle w:val="Lbjegyzet-hivatkozs"/>
          <w:sz w:val="20"/>
          <w:szCs w:val="20"/>
        </w:rPr>
        <w:footnoteRef/>
      </w:r>
      <w:r w:rsidRPr="006D6893">
        <w:rPr>
          <w:sz w:val="20"/>
          <w:szCs w:val="20"/>
        </w:rPr>
        <w:t xml:space="preserve"> </w:t>
      </w:r>
      <w:r w:rsidRPr="006D6893">
        <w:rPr>
          <w:sz w:val="20"/>
          <w:szCs w:val="20"/>
          <w:lang w:val="de-DE"/>
        </w:rPr>
        <w:t>L. hozzá: G. W. Fuchs: Karl Leonhard Reinhold - Illuminat und Philosoph. Eine Studie über den Zusammenhang seines Engagements als Freimaurer und Illuminat mit seinem Leben und philosophischen Wirken. Frankfurt aM., 1994.</w:t>
      </w:r>
    </w:p>
  </w:footnote>
  <w:footnote w:id="21">
    <w:p w:rsidR="007C03CB" w:rsidRPr="00381D40" w:rsidRDefault="007C03CB" w:rsidP="00381D40">
      <w:pPr>
        <w:jc w:val="both"/>
        <w:rPr>
          <w:sz w:val="20"/>
          <w:szCs w:val="20"/>
        </w:rPr>
      </w:pPr>
      <w:r w:rsidRPr="00381D40">
        <w:rPr>
          <w:rStyle w:val="Lbjegyzet-hivatkozs"/>
          <w:sz w:val="20"/>
          <w:szCs w:val="20"/>
        </w:rPr>
        <w:footnoteRef/>
      </w:r>
      <w:r w:rsidRPr="00381D40">
        <w:rPr>
          <w:sz w:val="20"/>
          <w:szCs w:val="20"/>
        </w:rPr>
        <w:t xml:space="preserve"> </w:t>
      </w:r>
      <w:r w:rsidRPr="00381D40">
        <w:rPr>
          <w:sz w:val="20"/>
          <w:szCs w:val="20"/>
          <w:lang w:val="de-DE"/>
        </w:rPr>
        <w:t>Vö. Steffen Ducheyne: Reid’s Adaptation and Radicalization of Newton’s Natural Philosophy. History of European Ideas 32, 2006, 173-189;</w:t>
      </w:r>
      <w:r w:rsidRPr="00381D40">
        <w:rPr>
          <w:sz w:val="20"/>
          <w:szCs w:val="20"/>
          <w:lang/>
        </w:rPr>
        <w:t xml:space="preserve"> N. Wolterstorff: Thomas Reid and the Story of Epistemology. </w:t>
      </w:r>
      <w:smartTag w:uri="urn:schemas-microsoft-com:office:smarttags" w:element="City">
        <w:smartTag w:uri="urn:schemas-microsoft-com:office:smarttags" w:element="place">
          <w:r w:rsidRPr="00381D40">
            <w:rPr>
              <w:sz w:val="20"/>
              <w:szCs w:val="20"/>
              <w:lang/>
            </w:rPr>
            <w:t>Cambridge</w:t>
          </w:r>
        </w:smartTag>
      </w:smartTag>
      <w:r w:rsidRPr="00381D40">
        <w:rPr>
          <w:sz w:val="20"/>
          <w:szCs w:val="20"/>
          <w:lang/>
        </w:rPr>
        <w:t>, 2001;</w:t>
      </w:r>
      <w:r w:rsidRPr="00381D40">
        <w:rPr>
          <w:sz w:val="20"/>
          <w:szCs w:val="20"/>
          <w:lang w:val="de-DE"/>
        </w:rPr>
        <w:t xml:space="preserve"> Rosine Hage: Wahrnehmen und Wissen. Die Rolle der Natur im Denken von Thomas Reid, Hannover – Laatzen, 2007.</w:t>
      </w:r>
    </w:p>
  </w:footnote>
  <w:footnote w:id="22">
    <w:p w:rsidR="007C03CB" w:rsidRPr="00381D40" w:rsidRDefault="007C03CB" w:rsidP="00381D40">
      <w:pPr>
        <w:jc w:val="both"/>
        <w:rPr>
          <w:sz w:val="20"/>
          <w:szCs w:val="20"/>
        </w:rPr>
      </w:pPr>
      <w:r w:rsidRPr="00381D40">
        <w:rPr>
          <w:rStyle w:val="Lbjegyzet-hivatkozs"/>
          <w:sz w:val="20"/>
          <w:szCs w:val="20"/>
        </w:rPr>
        <w:footnoteRef/>
      </w:r>
      <w:r w:rsidRPr="00381D40">
        <w:rPr>
          <w:sz w:val="20"/>
          <w:szCs w:val="20"/>
        </w:rPr>
        <w:t xml:space="preserve"> </w:t>
      </w:r>
      <w:r w:rsidRPr="00381D40">
        <w:rPr>
          <w:rStyle w:val="Kiemels"/>
          <w:b w:val="0"/>
          <w:sz w:val="20"/>
          <w:szCs w:val="20"/>
          <w:lang w:val="de-DE"/>
        </w:rPr>
        <w:t>Vö. G.</w:t>
      </w:r>
      <w:r w:rsidRPr="00381D40">
        <w:rPr>
          <w:sz w:val="20"/>
          <w:szCs w:val="20"/>
          <w:lang w:val="de-DE"/>
        </w:rPr>
        <w:t xml:space="preserve"> W. R. </w:t>
      </w:r>
      <w:r w:rsidRPr="00381D40">
        <w:rPr>
          <w:rStyle w:val="Kiemels"/>
          <w:b w:val="0"/>
          <w:sz w:val="20"/>
          <w:szCs w:val="20"/>
          <w:lang w:val="de-DE"/>
        </w:rPr>
        <w:t>Ardley:</w:t>
      </w:r>
      <w:r w:rsidRPr="00381D40">
        <w:rPr>
          <w:sz w:val="20"/>
          <w:szCs w:val="20"/>
          <w:lang w:val="de-DE"/>
        </w:rPr>
        <w:t xml:space="preserve"> The </w:t>
      </w:r>
      <w:r w:rsidRPr="00381D40">
        <w:rPr>
          <w:rStyle w:val="Kiemels"/>
          <w:b w:val="0"/>
          <w:sz w:val="20"/>
          <w:szCs w:val="20"/>
          <w:lang w:val="de-DE"/>
        </w:rPr>
        <w:t>Common Sense Philosophy of James Oswald</w:t>
      </w:r>
      <w:r w:rsidRPr="00381D40">
        <w:rPr>
          <w:sz w:val="20"/>
          <w:szCs w:val="20"/>
          <w:lang w:val="de-DE"/>
        </w:rPr>
        <w:t xml:space="preserve">, Aberdeen, 1980. Általánosságban, a német összefüggésekre is kiterjedően l. M. Kuehn: Scottish common sense in Germany, 1768-1800 : a contribution to the history of critical philosophy, </w:t>
      </w:r>
      <w:r w:rsidRPr="00381D40">
        <w:rPr>
          <w:color w:val="000000"/>
          <w:sz w:val="20"/>
          <w:szCs w:val="20"/>
          <w:lang/>
        </w:rPr>
        <w:t>Kingston, Ont.: McGill-Queen's University Pr.,</w:t>
      </w:r>
      <w:r w:rsidRPr="00381D40">
        <w:rPr>
          <w:sz w:val="20"/>
          <w:szCs w:val="20"/>
          <w:lang w:val="de-DE"/>
        </w:rPr>
        <w:t>1987 (repr. 2004).</w:t>
      </w:r>
    </w:p>
  </w:footnote>
  <w:footnote w:id="23">
    <w:p w:rsidR="007C03CB" w:rsidRPr="00381D40" w:rsidRDefault="007C03CB" w:rsidP="00381D40">
      <w:pPr>
        <w:jc w:val="both"/>
        <w:outlineLvl w:val="3"/>
        <w:rPr>
          <w:sz w:val="20"/>
          <w:szCs w:val="20"/>
        </w:rPr>
      </w:pPr>
      <w:r w:rsidRPr="00381D40">
        <w:rPr>
          <w:rStyle w:val="Lbjegyzet-hivatkozs"/>
          <w:sz w:val="20"/>
          <w:szCs w:val="20"/>
        </w:rPr>
        <w:footnoteRef/>
      </w:r>
      <w:r w:rsidRPr="00381D40">
        <w:rPr>
          <w:sz w:val="20"/>
          <w:szCs w:val="20"/>
        </w:rPr>
        <w:t xml:space="preserve"> </w:t>
      </w:r>
      <w:r w:rsidRPr="00381D40">
        <w:rPr>
          <w:sz w:val="20"/>
          <w:szCs w:val="20"/>
          <w:lang w:val="de-DE"/>
        </w:rPr>
        <w:t xml:space="preserve">L. vele kapcsolatban: Karen Kloth: </w:t>
      </w:r>
      <w:r w:rsidRPr="00381D40">
        <w:rPr>
          <w:i/>
          <w:iCs/>
          <w:sz w:val="20"/>
          <w:szCs w:val="20"/>
          <w:lang w:val="de-DE"/>
        </w:rPr>
        <w:t>James Beatties ästhetische Theorien. Ihre Zusammenhänge mit der Aberdeener Schulphilosophie</w:t>
      </w:r>
      <w:r w:rsidRPr="00381D40">
        <w:rPr>
          <w:sz w:val="20"/>
          <w:szCs w:val="20"/>
          <w:lang w:val="de-DE"/>
        </w:rPr>
        <w:t>, München 1974 (a munka eredetileg doktori értekezésnek készült a Münsteri Egyetemen</w:t>
      </w:r>
      <w:r w:rsidRPr="00381D40">
        <w:rPr>
          <w:sz w:val="20"/>
          <w:szCs w:val="20"/>
        </w:rPr>
        <w:t xml:space="preserve">, 1972). Komoly figyelmet szentel a D. Hume és J. Beattie közötti kapcsolatnak az alábbi Hume-fordítás kísérő szövege: </w:t>
      </w:r>
      <w:r w:rsidRPr="00381D40">
        <w:rPr>
          <w:color w:val="000000"/>
          <w:sz w:val="20"/>
          <w:szCs w:val="20"/>
        </w:rPr>
        <w:t xml:space="preserve">Trad. fr. Michel Malherbe: D. Hume </w:t>
      </w:r>
      <w:r w:rsidRPr="00381D40">
        <w:rPr>
          <w:i/>
          <w:iCs/>
          <w:color w:val="000000"/>
          <w:sz w:val="20"/>
          <w:szCs w:val="20"/>
        </w:rPr>
        <w:t>Essais et traités sur plusieurs sujets 1/1. E</w:t>
      </w:r>
      <w:r w:rsidRPr="00381D40">
        <w:rPr>
          <w:i/>
          <w:iCs/>
          <w:sz w:val="20"/>
          <w:szCs w:val="20"/>
        </w:rPr>
        <w:t xml:space="preserve">nquête sur l'entendement humain. Dissertation sur les passions. </w:t>
      </w:r>
      <w:r w:rsidRPr="00381D40">
        <w:rPr>
          <w:sz w:val="20"/>
          <w:szCs w:val="20"/>
        </w:rPr>
        <w:t xml:space="preserve">Paris, </w:t>
      </w:r>
      <w:smartTag w:uri="urn:schemas-microsoft-com:office:smarttags" w:element="metricconverter">
        <w:smartTagPr>
          <w:attr w:name="ProductID" w:val="2004. L"/>
        </w:smartTagPr>
        <w:r w:rsidRPr="00381D40">
          <w:rPr>
            <w:sz w:val="20"/>
            <w:szCs w:val="20"/>
          </w:rPr>
          <w:t>2004. L</w:t>
        </w:r>
      </w:smartTag>
      <w:r w:rsidRPr="00381D40">
        <w:rPr>
          <w:sz w:val="20"/>
          <w:szCs w:val="20"/>
        </w:rPr>
        <w:t xml:space="preserve">. még </w:t>
      </w:r>
      <w:r w:rsidRPr="00381D40">
        <w:rPr>
          <w:rStyle w:val="Kiemels"/>
          <w:b w:val="0"/>
          <w:sz w:val="20"/>
          <w:szCs w:val="20"/>
        </w:rPr>
        <w:t>Mélanie Turmel</w:t>
      </w:r>
      <w:r w:rsidRPr="00381D40">
        <w:rPr>
          <w:b/>
          <w:sz w:val="20"/>
          <w:szCs w:val="20"/>
        </w:rPr>
        <w:t>-</w:t>
      </w:r>
      <w:r w:rsidRPr="00381D40">
        <w:rPr>
          <w:rStyle w:val="Kiemels"/>
          <w:b w:val="0"/>
          <w:sz w:val="20"/>
          <w:szCs w:val="20"/>
        </w:rPr>
        <w:t>Huot</w:t>
      </w:r>
      <w:r w:rsidRPr="00381D40">
        <w:rPr>
          <w:b/>
          <w:sz w:val="20"/>
          <w:szCs w:val="20"/>
        </w:rPr>
        <w:t xml:space="preserve"> </w:t>
      </w:r>
      <w:r w:rsidRPr="00381D40">
        <w:rPr>
          <w:sz w:val="20"/>
          <w:szCs w:val="20"/>
        </w:rPr>
        <w:t xml:space="preserve">disszertációját: </w:t>
      </w:r>
      <w:r w:rsidRPr="00381D40">
        <w:rPr>
          <w:i/>
          <w:sz w:val="20"/>
          <w:szCs w:val="20"/>
        </w:rPr>
        <w:t>S</w:t>
      </w:r>
      <w:hyperlink r:id="rId6" w:history="1">
        <w:r w:rsidRPr="00381D40">
          <w:rPr>
            <w:rStyle w:val="Hiperhivatkozs"/>
            <w:i/>
            <w:color w:val="auto"/>
            <w:sz w:val="20"/>
            <w:szCs w:val="20"/>
            <w:u w:val="none"/>
          </w:rPr>
          <w:t>cepticisme et normativité épistémique chez</w:t>
        </w:r>
        <w:r w:rsidRPr="00381D40">
          <w:rPr>
            <w:rStyle w:val="Hiperhivatkozs"/>
            <w:b/>
            <w:i/>
            <w:color w:val="auto"/>
            <w:sz w:val="20"/>
            <w:szCs w:val="20"/>
            <w:u w:val="none"/>
          </w:rPr>
          <w:t xml:space="preserve"> </w:t>
        </w:r>
        <w:r w:rsidRPr="00381D40">
          <w:rPr>
            <w:rStyle w:val="Kiemels"/>
            <w:b w:val="0"/>
            <w:i/>
            <w:sz w:val="20"/>
            <w:szCs w:val="20"/>
          </w:rPr>
          <w:t>David Hume</w:t>
        </w:r>
      </w:hyperlink>
      <w:r w:rsidRPr="00381D40">
        <w:rPr>
          <w:b/>
          <w:sz w:val="20"/>
          <w:szCs w:val="20"/>
        </w:rPr>
        <w:t xml:space="preserve">, </w:t>
      </w:r>
      <w:r w:rsidRPr="00381D40">
        <w:rPr>
          <w:sz w:val="20"/>
          <w:szCs w:val="20"/>
        </w:rPr>
        <w:t xml:space="preserve">2009, </w:t>
      </w:r>
      <w:r w:rsidRPr="00381D40">
        <w:rPr>
          <w:color w:val="000000"/>
          <w:sz w:val="20"/>
          <w:szCs w:val="20"/>
        </w:rPr>
        <w:t>Université de Québec à Montréal.</w:t>
      </w:r>
    </w:p>
  </w:footnote>
  <w:footnote w:id="24">
    <w:p w:rsidR="007C03CB" w:rsidRPr="0093782D" w:rsidRDefault="007C03CB" w:rsidP="00381D40">
      <w:pPr>
        <w:jc w:val="both"/>
        <w:outlineLvl w:val="3"/>
        <w:rPr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93782D">
        <w:rPr>
          <w:sz w:val="20"/>
          <w:szCs w:val="20"/>
        </w:rPr>
        <w:t xml:space="preserve">Vö. összefoglaló jelleggel: Dieter Thomä (szerk.): </w:t>
      </w:r>
      <w:r w:rsidRPr="0093782D">
        <w:rPr>
          <w:i/>
          <w:sz w:val="20"/>
          <w:szCs w:val="20"/>
        </w:rPr>
        <w:t>Heidegger Handbuch</w:t>
      </w:r>
      <w:r w:rsidRPr="0093782D">
        <w:rPr>
          <w:sz w:val="20"/>
          <w:szCs w:val="20"/>
        </w:rPr>
        <w:t>, Stuttgart – Weimar, 2003, passim.</w:t>
      </w:r>
      <w:r w:rsidRPr="0093782D">
        <w:rPr>
          <w:color w:val="000000"/>
          <w:sz w:val="20"/>
          <w:szCs w:val="20"/>
        </w:rPr>
        <w:t xml:space="preserve"> – Itt jegyezzük meg, hogy </w:t>
      </w:r>
      <w:r w:rsidRPr="004F6C03">
        <w:rPr>
          <w:color w:val="000000"/>
          <w:sz w:val="20"/>
          <w:szCs w:val="20"/>
        </w:rPr>
        <w:t>a jelen tanulmány</w:t>
      </w:r>
      <w:r w:rsidRPr="0093782D">
        <w:rPr>
          <w:color w:val="000000"/>
          <w:sz w:val="20"/>
          <w:szCs w:val="20"/>
        </w:rPr>
        <w:t xml:space="preserve"> a TÁMOP 4.2.1./B-09/I/KONV-2010-0007 számú projekthez kapcsolódóan készült.</w:t>
      </w:r>
    </w:p>
    <w:p w:rsidR="007C03CB" w:rsidRDefault="007C03CB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EE5AE3"/>
    <w:multiLevelType w:val="hybridMultilevel"/>
    <w:tmpl w:val="F53C9E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D13240"/>
    <w:multiLevelType w:val="hybridMultilevel"/>
    <w:tmpl w:val="47BE5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12063A"/>
    <w:multiLevelType w:val="hybridMultilevel"/>
    <w:tmpl w:val="0D76B1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252C0"/>
    <w:multiLevelType w:val="hybridMultilevel"/>
    <w:tmpl w:val="BC42A7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BB12D8"/>
    <w:multiLevelType w:val="multilevel"/>
    <w:tmpl w:val="522A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24488"/>
    <w:multiLevelType w:val="hybridMultilevel"/>
    <w:tmpl w:val="CC50D10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D83AF6"/>
    <w:multiLevelType w:val="multilevel"/>
    <w:tmpl w:val="3C1E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87C8E"/>
    <w:multiLevelType w:val="multilevel"/>
    <w:tmpl w:val="3F5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951B9"/>
    <w:multiLevelType w:val="multilevel"/>
    <w:tmpl w:val="1BC4AE9A"/>
    <w:lvl w:ilvl="0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75BD7"/>
    <w:multiLevelType w:val="hybridMultilevel"/>
    <w:tmpl w:val="1BC4AE9A"/>
    <w:lvl w:ilvl="0" w:tplc="13EEEF70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547C8"/>
    <w:multiLevelType w:val="multilevel"/>
    <w:tmpl w:val="1DC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E1E03"/>
    <w:multiLevelType w:val="multilevel"/>
    <w:tmpl w:val="0E96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AA"/>
    <w:rsid w:val="00000290"/>
    <w:rsid w:val="000304A2"/>
    <w:rsid w:val="00053C15"/>
    <w:rsid w:val="000707C5"/>
    <w:rsid w:val="00084348"/>
    <w:rsid w:val="000D6490"/>
    <w:rsid w:val="000F3C61"/>
    <w:rsid w:val="000F4314"/>
    <w:rsid w:val="00132DC0"/>
    <w:rsid w:val="0013731F"/>
    <w:rsid w:val="00156F12"/>
    <w:rsid w:val="00176E3C"/>
    <w:rsid w:val="0017754C"/>
    <w:rsid w:val="001906D2"/>
    <w:rsid w:val="001B36F1"/>
    <w:rsid w:val="001C04DE"/>
    <w:rsid w:val="001F2937"/>
    <w:rsid w:val="00241248"/>
    <w:rsid w:val="0025421F"/>
    <w:rsid w:val="00262DDD"/>
    <w:rsid w:val="00263413"/>
    <w:rsid w:val="00280541"/>
    <w:rsid w:val="0028557B"/>
    <w:rsid w:val="00291807"/>
    <w:rsid w:val="002D1D8D"/>
    <w:rsid w:val="00326B76"/>
    <w:rsid w:val="00330F05"/>
    <w:rsid w:val="00333F2B"/>
    <w:rsid w:val="00333F75"/>
    <w:rsid w:val="0033452D"/>
    <w:rsid w:val="0036529A"/>
    <w:rsid w:val="00372D4E"/>
    <w:rsid w:val="00381D40"/>
    <w:rsid w:val="003A122C"/>
    <w:rsid w:val="003A738E"/>
    <w:rsid w:val="003C204E"/>
    <w:rsid w:val="003C4031"/>
    <w:rsid w:val="003D1D8E"/>
    <w:rsid w:val="003F0CEE"/>
    <w:rsid w:val="004174A5"/>
    <w:rsid w:val="00451EC9"/>
    <w:rsid w:val="0045578B"/>
    <w:rsid w:val="004B6043"/>
    <w:rsid w:val="004E1CC0"/>
    <w:rsid w:val="004E58CD"/>
    <w:rsid w:val="004E6B1F"/>
    <w:rsid w:val="004F5138"/>
    <w:rsid w:val="004F6C03"/>
    <w:rsid w:val="00516F8B"/>
    <w:rsid w:val="005318AE"/>
    <w:rsid w:val="00551625"/>
    <w:rsid w:val="00554F15"/>
    <w:rsid w:val="00566F9F"/>
    <w:rsid w:val="00582C40"/>
    <w:rsid w:val="005A1E7D"/>
    <w:rsid w:val="005A6631"/>
    <w:rsid w:val="005C66F9"/>
    <w:rsid w:val="005D01D5"/>
    <w:rsid w:val="006354B3"/>
    <w:rsid w:val="006375F1"/>
    <w:rsid w:val="00643FFA"/>
    <w:rsid w:val="00662D1D"/>
    <w:rsid w:val="00674C05"/>
    <w:rsid w:val="00697E15"/>
    <w:rsid w:val="006A4382"/>
    <w:rsid w:val="006B64F7"/>
    <w:rsid w:val="006D102A"/>
    <w:rsid w:val="006D14CC"/>
    <w:rsid w:val="006D6893"/>
    <w:rsid w:val="006E0EAD"/>
    <w:rsid w:val="006E7844"/>
    <w:rsid w:val="006F1312"/>
    <w:rsid w:val="00714022"/>
    <w:rsid w:val="00717C14"/>
    <w:rsid w:val="00725017"/>
    <w:rsid w:val="00752A69"/>
    <w:rsid w:val="00774311"/>
    <w:rsid w:val="00782710"/>
    <w:rsid w:val="0079494F"/>
    <w:rsid w:val="007960B6"/>
    <w:rsid w:val="00797755"/>
    <w:rsid w:val="007C03CB"/>
    <w:rsid w:val="007C2A75"/>
    <w:rsid w:val="007D2307"/>
    <w:rsid w:val="007D259C"/>
    <w:rsid w:val="007E401F"/>
    <w:rsid w:val="007E6347"/>
    <w:rsid w:val="00803B9D"/>
    <w:rsid w:val="00824A6E"/>
    <w:rsid w:val="0082640A"/>
    <w:rsid w:val="008343A4"/>
    <w:rsid w:val="00847D98"/>
    <w:rsid w:val="008925AE"/>
    <w:rsid w:val="008B28FD"/>
    <w:rsid w:val="008E5F7D"/>
    <w:rsid w:val="00982EB1"/>
    <w:rsid w:val="009925F7"/>
    <w:rsid w:val="009A0AB8"/>
    <w:rsid w:val="009A0C30"/>
    <w:rsid w:val="009A2B97"/>
    <w:rsid w:val="009E6B37"/>
    <w:rsid w:val="00A13B4D"/>
    <w:rsid w:val="00A24ACB"/>
    <w:rsid w:val="00A25997"/>
    <w:rsid w:val="00A27B1F"/>
    <w:rsid w:val="00A31782"/>
    <w:rsid w:val="00A340B0"/>
    <w:rsid w:val="00A804A1"/>
    <w:rsid w:val="00A9723E"/>
    <w:rsid w:val="00AA7B17"/>
    <w:rsid w:val="00AB6ACD"/>
    <w:rsid w:val="00AD0406"/>
    <w:rsid w:val="00AD4459"/>
    <w:rsid w:val="00AE0F5B"/>
    <w:rsid w:val="00AE33F6"/>
    <w:rsid w:val="00B1478D"/>
    <w:rsid w:val="00B251DA"/>
    <w:rsid w:val="00B30B7B"/>
    <w:rsid w:val="00B41AF3"/>
    <w:rsid w:val="00B4681F"/>
    <w:rsid w:val="00B56A95"/>
    <w:rsid w:val="00B76FBE"/>
    <w:rsid w:val="00BA5875"/>
    <w:rsid w:val="00BB02AA"/>
    <w:rsid w:val="00BF1135"/>
    <w:rsid w:val="00BF7FF4"/>
    <w:rsid w:val="00C04B5E"/>
    <w:rsid w:val="00C15130"/>
    <w:rsid w:val="00C15B3B"/>
    <w:rsid w:val="00C2017A"/>
    <w:rsid w:val="00C24CCC"/>
    <w:rsid w:val="00C36A80"/>
    <w:rsid w:val="00C40C24"/>
    <w:rsid w:val="00C46EC9"/>
    <w:rsid w:val="00C50024"/>
    <w:rsid w:val="00C528F5"/>
    <w:rsid w:val="00C65522"/>
    <w:rsid w:val="00CA36EB"/>
    <w:rsid w:val="00CC636D"/>
    <w:rsid w:val="00CF3C22"/>
    <w:rsid w:val="00CF3EA7"/>
    <w:rsid w:val="00D00DDA"/>
    <w:rsid w:val="00D0689A"/>
    <w:rsid w:val="00D259D7"/>
    <w:rsid w:val="00D35CC3"/>
    <w:rsid w:val="00D50C27"/>
    <w:rsid w:val="00DA1348"/>
    <w:rsid w:val="00DF2DB4"/>
    <w:rsid w:val="00DF646C"/>
    <w:rsid w:val="00E07DFD"/>
    <w:rsid w:val="00E23655"/>
    <w:rsid w:val="00E37061"/>
    <w:rsid w:val="00E5301A"/>
    <w:rsid w:val="00E545F1"/>
    <w:rsid w:val="00E5515B"/>
    <w:rsid w:val="00E92FA4"/>
    <w:rsid w:val="00ED71E6"/>
    <w:rsid w:val="00F17EE8"/>
    <w:rsid w:val="00F23922"/>
    <w:rsid w:val="00F647AE"/>
    <w:rsid w:val="00F839B9"/>
    <w:rsid w:val="00F87B08"/>
    <w:rsid w:val="00FB39DB"/>
    <w:rsid w:val="00FC3D33"/>
    <w:rsid w:val="00FC759E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4E1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qFormat/>
    <w:rsid w:val="00AD4459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HTML-kntformzott">
    <w:name w:val="HTML Preformatted"/>
    <w:basedOn w:val="Norml"/>
    <w:rsid w:val="00BB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602000"/>
      <w:sz w:val="18"/>
      <w:szCs w:val="18"/>
    </w:rPr>
  </w:style>
  <w:style w:type="character" w:styleId="Hiperhivatkozs">
    <w:name w:val="Hyperlink"/>
    <w:basedOn w:val="Bekezdsalapbettpusa"/>
    <w:rsid w:val="00F839B9"/>
    <w:rPr>
      <w:color w:val="0000FF"/>
      <w:u w:val="single"/>
    </w:rPr>
  </w:style>
  <w:style w:type="character" w:styleId="Kiemels">
    <w:name w:val="Emphasis"/>
    <w:basedOn w:val="Bekezdsalapbettpusa"/>
    <w:qFormat/>
    <w:rsid w:val="00BF1135"/>
    <w:rPr>
      <w:b/>
      <w:bCs/>
      <w:i w:val="0"/>
      <w:iCs w:val="0"/>
    </w:rPr>
  </w:style>
  <w:style w:type="paragraph" w:customStyle="1" w:styleId="Default">
    <w:name w:val="Default"/>
    <w:rsid w:val="00662D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basedOn w:val="Bekezdsalapbettpusa"/>
    <w:qFormat/>
    <w:rsid w:val="00B41AF3"/>
    <w:rPr>
      <w:b/>
      <w:bCs/>
    </w:rPr>
  </w:style>
  <w:style w:type="character" w:customStyle="1" w:styleId="f2">
    <w:name w:val="f2"/>
    <w:basedOn w:val="Bekezdsalapbettpusa"/>
    <w:rsid w:val="00D35CC3"/>
    <w:rPr>
      <w:color w:val="767676"/>
    </w:rPr>
  </w:style>
  <w:style w:type="paragraph" w:styleId="NormlWeb">
    <w:name w:val="Normal (Web)"/>
    <w:basedOn w:val="Norml"/>
    <w:rsid w:val="00000290"/>
    <w:pPr>
      <w:spacing w:before="100" w:beforeAutospacing="1" w:after="100" w:afterAutospacing="1"/>
    </w:pPr>
  </w:style>
  <w:style w:type="character" w:customStyle="1" w:styleId="nowrap1">
    <w:name w:val="nowrap1"/>
    <w:basedOn w:val="Bekezdsalapbettpusa"/>
    <w:rsid w:val="00D259D7"/>
  </w:style>
  <w:style w:type="character" w:customStyle="1" w:styleId="mw-headline">
    <w:name w:val="mw-headline"/>
    <w:basedOn w:val="Bekezdsalapbettpusa"/>
    <w:rsid w:val="00AD4459"/>
  </w:style>
  <w:style w:type="paragraph" w:customStyle="1" w:styleId="CM38">
    <w:name w:val="CM38"/>
    <w:basedOn w:val="Default"/>
    <w:next w:val="Default"/>
    <w:rsid w:val="00C36A80"/>
    <w:pPr>
      <w:spacing w:after="263"/>
    </w:pPr>
    <w:rPr>
      <w:rFonts w:ascii="Arial" w:hAnsi="Arial"/>
      <w:color w:val="auto"/>
    </w:rPr>
  </w:style>
  <w:style w:type="character" w:styleId="Mrltotthiperhivatkozs">
    <w:name w:val="FollowedHyperlink"/>
    <w:basedOn w:val="Bekezdsalapbettpusa"/>
    <w:rsid w:val="00084348"/>
    <w:rPr>
      <w:color w:val="800080"/>
      <w:u w:val="single"/>
    </w:rPr>
  </w:style>
  <w:style w:type="paragraph" w:styleId="Lbjegyzetszveg">
    <w:name w:val="footnote text"/>
    <w:basedOn w:val="Norml"/>
    <w:semiHidden/>
    <w:rsid w:val="006D6893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6D6893"/>
    <w:rPr>
      <w:vertAlign w:val="superscript"/>
    </w:rPr>
  </w:style>
  <w:style w:type="paragraph" w:styleId="llb">
    <w:name w:val="footer"/>
    <w:basedOn w:val="Norml"/>
    <w:rsid w:val="007C03C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C03CB"/>
  </w:style>
  <w:style w:type="character" w:styleId="Jegyzethivatkozs">
    <w:name w:val="annotation reference"/>
    <w:basedOn w:val="Bekezdsalapbettpusa"/>
    <w:semiHidden/>
    <w:rsid w:val="007C03CB"/>
    <w:rPr>
      <w:sz w:val="16"/>
      <w:szCs w:val="16"/>
    </w:rPr>
  </w:style>
  <w:style w:type="paragraph" w:styleId="Jegyzetszveg">
    <w:name w:val="annotation text"/>
    <w:basedOn w:val="Norml"/>
    <w:semiHidden/>
    <w:rsid w:val="007C03C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7C03CB"/>
    <w:rPr>
      <w:b/>
      <w:bCs/>
    </w:rPr>
  </w:style>
  <w:style w:type="paragraph" w:styleId="Buborkszveg">
    <w:name w:val="Balloon Text"/>
    <w:basedOn w:val="Norml"/>
    <w:semiHidden/>
    <w:rsid w:val="007C0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1266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505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076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437">
                          <w:marLeft w:val="2385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5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Kritik_der_reinen_Vernunf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u.wikipedia.org/w/index.php?title=%C3%89rt%C3%A9kelm%C3%A9let&amp;action=edit&amp;redlink=1" TargetMode="External"/><Relationship Id="rId12" Type="http://schemas.openxmlformats.org/officeDocument/2006/relationships/hyperlink" Target="http://de.wikipedia.org/wiki/Kritik_der_Urteilskraf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Kritik_der_praktischen_Vernunf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r.wikipedia.org/wiki/1787_en_litt%C3%A9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781_en_litt%C3%A9rature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hu.wikipedia.org/wiki/Torda" TargetMode="External"/><Relationship Id="rId2" Type="http://schemas.openxmlformats.org/officeDocument/2006/relationships/hyperlink" Target="http://hu.wikipedia.org/wiki/Immanuel_Kant" TargetMode="External"/><Relationship Id="rId1" Type="http://schemas.openxmlformats.org/officeDocument/2006/relationships/hyperlink" Target="http://www.iti.mta.hu/Szorenyi60/Acs.pdf" TargetMode="External"/><Relationship Id="rId6" Type="http://schemas.openxmlformats.org/officeDocument/2006/relationships/hyperlink" Target="http://www.archipel.uqam.ca/2485/1/M11173.pdf" TargetMode="External"/><Relationship Id="rId5" Type="http://schemas.openxmlformats.org/officeDocument/2006/relationships/hyperlink" Target="http://fr.wikipedia.org/wiki/Emmanuel_Kant" TargetMode="External"/><Relationship Id="rId4" Type="http://schemas.openxmlformats.org/officeDocument/2006/relationships/hyperlink" Target="http://www.wikiberal.org/wiki/Ludwig_von_Mis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2714</Words>
  <Characters>18732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filozófia 200 évvel ezelőtt (Adalékok Kant magyarországi recepciójához: Rozgonyi József Kant-kritikája)</vt:lpstr>
    </vt:vector>
  </TitlesOfParts>
  <Company/>
  <LinksUpToDate>false</LinksUpToDate>
  <CharactersWithSpaces>21404</CharactersWithSpaces>
  <SharedDoc>false</SharedDoc>
  <HLinks>
    <vt:vector size="72" baseType="variant">
      <vt:variant>
        <vt:i4>1376330</vt:i4>
      </vt:variant>
      <vt:variant>
        <vt:i4>15</vt:i4>
      </vt:variant>
      <vt:variant>
        <vt:i4>0</vt:i4>
      </vt:variant>
      <vt:variant>
        <vt:i4>5</vt:i4>
      </vt:variant>
      <vt:variant>
        <vt:lpwstr>http://de.wikipedia.org/wiki/Kritik_der_Urteilskraft</vt:lpwstr>
      </vt:variant>
      <vt:variant>
        <vt:lpwstr/>
      </vt:variant>
      <vt:variant>
        <vt:i4>2621506</vt:i4>
      </vt:variant>
      <vt:variant>
        <vt:i4>12</vt:i4>
      </vt:variant>
      <vt:variant>
        <vt:i4>0</vt:i4>
      </vt:variant>
      <vt:variant>
        <vt:i4>5</vt:i4>
      </vt:variant>
      <vt:variant>
        <vt:lpwstr>http://de.wikipedia.org/wiki/Kritik_der_praktischen_Vernunft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http://fr.wikipedia.org/wiki/1787_en_litt%C3%A9rature</vt:lpwstr>
      </vt:variant>
      <vt:variant>
        <vt:lpwstr/>
      </vt:variant>
      <vt:variant>
        <vt:i4>4128867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http://fr.wikipedia.org/wiki/1781_en_litt%C3%A9rature</vt:lpwstr>
      </vt:variant>
      <vt:variant>
        <vt:lpwstr/>
      </vt:variant>
      <vt:variant>
        <vt:i4>6422529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http://de.wikipedia.org/wiki/Kritik_der_reinen_Vernunft</vt:lpwstr>
      </vt:variant>
      <vt:variant>
        <vt:lpwstr/>
      </vt:variant>
      <vt:variant>
        <vt:i4>2293882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http://hu.wikipedia.org/w/index.php?title=%C3%89rt%C3%A9kelm%C3%A9let&amp;action=edit&amp;redlink=1</vt:lpwstr>
      </vt:variant>
      <vt:variant>
        <vt:lpwstr/>
      </vt:variant>
      <vt:variant>
        <vt:i4>4849732</vt:i4>
      </vt:variant>
      <vt:variant>
        <vt:i4>15</vt:i4>
      </vt:variant>
      <vt:variant>
        <vt:i4>0</vt:i4>
      </vt:variant>
      <vt:variant>
        <vt:i4>5</vt:i4>
      </vt:variant>
      <vt:variant>
        <vt:lpwstr>http://www.archipel.uqam.ca/2485/1/M11173.pdf</vt:lpwstr>
      </vt:variant>
      <vt:variant>
        <vt:lpwstr/>
      </vt:variant>
      <vt:variant>
        <vt:i4>5570617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http://fr.wikipedia.org/wiki/Emmanuel_Kant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http://www.wikiberal.org/wiki/Ludwig_von_Mises</vt:lpwstr>
      </vt:variant>
      <vt:variant>
        <vt:lpwstr/>
      </vt:variant>
      <vt:variant>
        <vt:i4>7667749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http://hu.wikipedia.org/wiki/Torda</vt:lpwstr>
      </vt:variant>
      <vt:variant>
        <vt:lpwstr/>
      </vt:variant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http://hu.wikipedia.org/wiki/Immanuel_Kant</vt:lpwstr>
      </vt:variant>
      <vt:variant>
        <vt:lpwstr/>
      </vt:variant>
      <vt:variant>
        <vt:i4>5963797</vt:i4>
      </vt:variant>
      <vt:variant>
        <vt:i4>0</vt:i4>
      </vt:variant>
      <vt:variant>
        <vt:i4>0</vt:i4>
      </vt:variant>
      <vt:variant>
        <vt:i4>5</vt:i4>
      </vt:variant>
      <vt:variant>
        <vt:lpwstr>http://www.iti.mta.hu/Szorenyi60/Acs.pdf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filozófia 200 évvel ezelőtt (Adalékok Kant magyarországi recepciójához: Rozgonyi József Kant-kritikája)</dc:title>
  <dc:subject/>
  <dc:creator>BZs</dc:creator>
  <cp:keywords/>
  <dc:description/>
  <cp:lastModifiedBy>HP</cp:lastModifiedBy>
  <cp:revision>2</cp:revision>
  <cp:lastPrinted>2011-10-27T10:35:00Z</cp:lastPrinted>
  <dcterms:created xsi:type="dcterms:W3CDTF">2011-11-10T09:11:00Z</dcterms:created>
  <dcterms:modified xsi:type="dcterms:W3CDTF">2011-11-10T09:11:00Z</dcterms:modified>
</cp:coreProperties>
</file>